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ascii="Arial" w:hAnsi="Arial" w:cs="Arial"/>
          <w:b/>
          <w:sz w:val="24"/>
          <w:szCs w:val="24"/>
          <w:highlight w:val="none"/>
          <w:lang w:eastAsia="zh-CN"/>
        </w:rPr>
      </w:pPr>
      <w:bookmarkStart w:id="0" w:name="Title"/>
      <w:bookmarkEnd w:id="0"/>
      <w:bookmarkStart w:id="1" w:name="DocumentFor"/>
      <w:bookmarkEnd w:id="1"/>
      <w:bookmarkStart w:id="2" w:name="_Toc193024528"/>
      <w:r>
        <w:rPr>
          <w:rFonts w:ascii="Arial" w:hAnsi="Arial" w:cs="Arial"/>
          <w:b/>
          <w:sz w:val="24"/>
          <w:szCs w:val="24"/>
          <w:highlight w:val="none"/>
          <w:lang w:eastAsia="zh-CN"/>
        </w:rPr>
        <w:t xml:space="preserve">3GPP TSG-RAN WG4 Meeting # 98-e </w:t>
      </w:r>
      <w:r>
        <w:rPr>
          <w:rFonts w:hint="eastAsia" w:cs="Arial"/>
          <w:b/>
          <w:sz w:val="24"/>
          <w:szCs w:val="24"/>
          <w:highlight w:val="none"/>
          <w:lang w:val="en-US" w:eastAsia="zh-CN"/>
        </w:rPr>
        <w:t xml:space="preserve">                                                   </w:t>
      </w:r>
      <w:r>
        <w:rPr>
          <w:rFonts w:ascii="Arial" w:hAnsi="Arial" w:cs="Arial"/>
          <w:b/>
          <w:sz w:val="24"/>
          <w:szCs w:val="24"/>
          <w:highlight w:val="none"/>
          <w:lang w:eastAsia="zh-CN"/>
        </w:rPr>
        <w:t>R4-21</w:t>
      </w:r>
      <w:r>
        <w:rPr>
          <w:rFonts w:hint="eastAsia" w:cs="Arial"/>
          <w:b/>
          <w:sz w:val="24"/>
          <w:szCs w:val="24"/>
          <w:highlight w:val="none"/>
          <w:lang w:val="en-US" w:eastAsia="zh-CN"/>
        </w:rPr>
        <w:t>02182</w:t>
      </w:r>
      <w:bookmarkStart w:id="12" w:name="_GoBack"/>
      <w:bookmarkEnd w:id="12"/>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ascii="Arial" w:hAnsi="Arial" w:cs="Arial"/>
          <w:b/>
          <w:sz w:val="24"/>
          <w:szCs w:val="24"/>
          <w:highlight w:val="none"/>
          <w:lang w:eastAsia="zh-CN"/>
        </w:rPr>
      </w:pPr>
      <w:r>
        <w:rPr>
          <w:rFonts w:ascii="Arial" w:hAnsi="Arial" w:cs="Arial"/>
          <w:b/>
          <w:sz w:val="24"/>
          <w:szCs w:val="24"/>
          <w:highlight w:val="none"/>
          <w:lang w:eastAsia="zh-CN"/>
        </w:rPr>
        <w:t>Electronic Meeting, Jan. 25-Feb. 5,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2"/>
          <w:szCs w:val="22"/>
          <w:highlight w:val="none"/>
          <w:lang w:eastAsia="zh-CN"/>
        </w:rPr>
        <w:t>ZTE</w:t>
      </w:r>
      <w:r>
        <w:rPr>
          <w:rFonts w:hint="default" w:ascii="Arial" w:hAnsi="Arial" w:eastAsia="宋体" w:cs="Arial"/>
          <w:b w:val="0"/>
          <w:sz w:val="22"/>
          <w:szCs w:val="22"/>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lang w:val="en-US" w:eastAsia="zh-CN"/>
        </w:rPr>
        <w:t xml:space="preserve">Discussion on </w:t>
      </w:r>
      <w:r>
        <w:rPr>
          <w:rFonts w:hint="eastAsia" w:ascii="Arial" w:hAnsi="Arial" w:cs="Arial"/>
          <w:b w:val="0"/>
          <w:bCs/>
          <w:sz w:val="20"/>
          <w:szCs w:val="20"/>
        </w:rPr>
        <w:t>FR2 Inter-band DL CA enhancements</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11.3.2.1.1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2"/>
          <w:szCs w:val="22"/>
          <w:highlight w:val="none"/>
          <w:lang w:val="en-US" w:eastAsia="zh-CN"/>
        </w:rPr>
        <w:t>Approval</w:t>
      </w:r>
      <w:r>
        <w:rPr>
          <w:rFonts w:hint="default" w:ascii="Arial" w:hAnsi="Arial" w:eastAsia="宋体" w:cs="Arial"/>
          <w:sz w:val="20"/>
          <w:highlight w:val="none"/>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last RAN4 #97e meeting, a WF[1] was agreed on applicability of CBM/IBM for different CA. Some of the open issues are shown below: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drawing>
          <wp:inline distT="0" distB="0" distL="114300" distR="114300">
            <wp:extent cx="3832860" cy="1212215"/>
            <wp:effectExtent l="0" t="0" r="152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832860" cy="1212215"/>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drawing>
          <wp:inline distT="0" distB="0" distL="114300" distR="114300">
            <wp:extent cx="3862705" cy="1348740"/>
            <wp:effectExtent l="0" t="0" r="444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862705" cy="134874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In this contribution, we 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th</w:t>
      </w:r>
      <w:r>
        <w:rPr>
          <w:rFonts w:hint="eastAsia" w:eastAsia="宋体" w:cs="Times New Roman"/>
          <w:i w:val="0"/>
          <w:iCs w:val="0"/>
          <w:sz w:val="20"/>
          <w:szCs w:val="22"/>
          <w:highlight w:val="none"/>
          <w:lang w:val="en-US" w:eastAsia="zh-CN"/>
        </w:rPr>
        <w:t>is issue</w:t>
      </w:r>
      <w:r>
        <w:rPr>
          <w:rFonts w:hint="eastAsia" w:ascii="Times New Roman" w:hAnsi="Times New Roman" w:eastAsia="宋体" w:cs="Times New Roman"/>
          <w:i w:val="0"/>
          <w:iCs w:val="0"/>
          <w:sz w:val="20"/>
          <w:szCs w:val="22"/>
          <w:highlight w:val="none"/>
          <w:lang w:val="en-US" w:eastAsia="zh-CN"/>
        </w:rPr>
        <w:t>.</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pStyle w:val="3"/>
        <w:numPr>
          <w:ilvl w:val="1"/>
          <w:numId w:val="0"/>
        </w:numPr>
        <w:tabs>
          <w:tab w:val="clear" w:pos="0"/>
        </w:tabs>
        <w:bidi w:val="0"/>
        <w:ind w:leftChars="0"/>
        <w:rPr>
          <w:rFonts w:hint="default"/>
          <w:sz w:val="20"/>
          <w:szCs w:val="20"/>
          <w:lang w:val="en-US" w:eastAsia="zh-CN"/>
        </w:rPr>
      </w:pPr>
      <w:r>
        <w:rPr>
          <w:rFonts w:hint="eastAsia"/>
          <w:sz w:val="20"/>
          <w:szCs w:val="20"/>
          <w:lang w:val="en-US" w:eastAsia="zh-CN"/>
        </w:rPr>
        <w:t>2.1 Co-located and non-co-located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One of the issues during CBM/IBM discussion for FR2 inter-band DL CA is the BS co-located and non-co-colated deployment.  According to the WF[2], n</w:t>
      </w:r>
      <w:r>
        <w:rPr>
          <w:rFonts w:hint="default" w:eastAsia="宋体" w:cs="Times New Roman"/>
          <w:b w:val="0"/>
          <w:bCs w:val="0"/>
          <w:sz w:val="20"/>
          <w:szCs w:val="20"/>
          <w:highlight w:val="none"/>
          <w:lang w:val="en-US" w:eastAsia="zh-CN"/>
        </w:rPr>
        <w:t xml:space="preserve">etwork deployment scenarios </w:t>
      </w:r>
      <w:r>
        <w:rPr>
          <w:rFonts w:hint="eastAsia" w:eastAsia="宋体" w:cs="Times New Roman"/>
          <w:b w:val="0"/>
          <w:bCs w:val="0"/>
          <w:sz w:val="20"/>
          <w:szCs w:val="20"/>
          <w:highlight w:val="none"/>
          <w:lang w:val="en-US" w:eastAsia="zh-CN"/>
        </w:rPr>
        <w:t xml:space="preserve">can be </w:t>
      </w:r>
      <w:r>
        <w:rPr>
          <w:rFonts w:hint="default" w:eastAsia="宋体" w:cs="Times New Roman"/>
          <w:b w:val="0"/>
          <w:bCs w:val="0"/>
          <w:sz w:val="20"/>
          <w:szCs w:val="20"/>
          <w:highlight w:val="none"/>
          <w:lang w:val="en-US" w:eastAsia="zh-CN"/>
        </w:rPr>
        <w:t>co-located deployment</w:t>
      </w:r>
      <w:r>
        <w:rPr>
          <w:rFonts w:hint="eastAsia" w:eastAsia="宋体" w:cs="Times New Roman"/>
          <w:b w:val="0"/>
          <w:bCs w:val="0"/>
          <w:sz w:val="20"/>
          <w:szCs w:val="20"/>
          <w:highlight w:val="none"/>
          <w:lang w:val="en-US" w:eastAsia="zh-CN"/>
        </w:rPr>
        <w:t xml:space="preserve"> and </w:t>
      </w:r>
      <w:r>
        <w:rPr>
          <w:rFonts w:hint="default" w:eastAsia="宋体" w:cs="Times New Roman"/>
          <w:b w:val="0"/>
          <w:bCs w:val="0"/>
          <w:sz w:val="20"/>
          <w:szCs w:val="20"/>
          <w:highlight w:val="none"/>
          <w:lang w:val="en-US" w:eastAsia="zh-CN"/>
        </w:rPr>
        <w:t>non-co-located deployment</w:t>
      </w:r>
      <w:r>
        <w:rPr>
          <w:rFonts w:hint="eastAsia" w:eastAsia="宋体" w:cs="Times New Roman"/>
          <w:b w:val="0"/>
          <w:bCs w:val="0"/>
          <w:sz w:val="20"/>
          <w:szCs w:val="20"/>
          <w:highlight w:val="none"/>
          <w:lang w:val="en-US" w:eastAsia="zh-CN"/>
        </w:rPr>
        <w:t>, and n</w:t>
      </w:r>
      <w:r>
        <w:rPr>
          <w:rFonts w:hint="default" w:eastAsia="宋体" w:cs="Times New Roman"/>
          <w:b w:val="0"/>
          <w:bCs w:val="0"/>
          <w:sz w:val="20"/>
          <w:szCs w:val="20"/>
          <w:highlight w:val="none"/>
          <w:lang w:val="en-US" w:eastAsia="zh-CN"/>
        </w:rPr>
        <w:t>etwork does not assume CBM UE supports non-co-located deployment</w:t>
      </w:r>
      <w:r>
        <w:rPr>
          <w:rFonts w:hint="eastAsia" w:eastAsia="宋体" w:cs="Times New Roman"/>
          <w:b w:val="0"/>
          <w:bCs w:val="0"/>
          <w:sz w:val="20"/>
          <w:szCs w:val="20"/>
          <w:highlight w:val="none"/>
          <w:lang w:val="en-US" w:eastAsia="zh-CN"/>
        </w:rPr>
        <w:t xml:space="preserve"> while</w:t>
      </w:r>
      <w:r>
        <w:rPr>
          <w:rFonts w:hint="default" w:eastAsia="宋体" w:cs="Times New Roman"/>
          <w:b w:val="0"/>
          <w:bCs w:val="0"/>
          <w:sz w:val="20"/>
          <w:szCs w:val="20"/>
          <w:highlight w:val="none"/>
          <w:lang w:val="en-US" w:eastAsia="zh-CN"/>
        </w:rPr>
        <w:t xml:space="preserve"> IBM UE supports both co-located and non-co-located deployments.</w:t>
      </w:r>
      <w:r>
        <w:rPr>
          <w:rFonts w:hint="eastAsia" w:eastAsia="宋体" w:cs="Times New Roman"/>
          <w:b w:val="0"/>
          <w:bCs w:val="0"/>
          <w:sz w:val="20"/>
          <w:szCs w:val="20"/>
          <w:highlight w:val="none"/>
          <w:lang w:val="en-US" w:eastAsia="zh-CN"/>
        </w:rPr>
        <w:t xml:space="preserve"> In our understanding, such assumptions are from UE perspective which aim to support the CBM/IBM UE capabilities in FR2 inter-band DL CA scenarios, especially for CBM UE capability.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Expect for UE side, we think it should also be needed to take BS perspective into account. In current TS38.104, the TAE requirements are defined:</w:t>
      </w:r>
    </w:p>
    <w:p>
      <w:pPr>
        <w:keepNext/>
        <w:keepLines/>
        <w:pageBreakBefore w:val="0"/>
        <w:widowControl/>
        <w:numPr>
          <w:ilvl w:val="0"/>
          <w:numId w:val="0"/>
        </w:numPr>
        <w:tabs>
          <w:tab w:val="left" w:pos="0"/>
          <w:tab w:val="left" w:pos="420"/>
        </w:tabs>
        <w:kinsoku/>
        <w:wordWrap/>
        <w:overflowPunct/>
        <w:topLinePunct w:val="0"/>
        <w:autoSpaceDE/>
        <w:autoSpaceDN/>
        <w:bidi w:val="0"/>
        <w:adjustRightInd/>
        <w:snapToGrid/>
        <w:ind w:leftChars="0"/>
        <w:textAlignment w:val="auto"/>
        <w:outlineLvl w:val="9"/>
        <w:rPr>
          <w:b w:val="0"/>
          <w:bCs w:val="0"/>
          <w:i/>
          <w:iCs/>
          <w:sz w:val="20"/>
          <w:szCs w:val="20"/>
        </w:rPr>
      </w:pPr>
      <w:bookmarkStart w:id="3" w:name="_Toc53178818"/>
      <w:bookmarkStart w:id="4" w:name="_Toc45893647"/>
      <w:bookmarkStart w:id="5" w:name="_Toc21127660"/>
      <w:bookmarkStart w:id="6" w:name="_Toc44712334"/>
      <w:bookmarkStart w:id="7" w:name="_Toc29811869"/>
      <w:bookmarkStart w:id="8" w:name="_Toc53178367"/>
      <w:bookmarkStart w:id="9" w:name="_Toc37260343"/>
      <w:bookmarkStart w:id="10" w:name="_Toc36817421"/>
      <w:bookmarkStart w:id="11" w:name="_Toc37267731"/>
      <w:r>
        <w:rPr>
          <w:b w:val="0"/>
          <w:bCs w:val="0"/>
          <w:i/>
          <w:iCs/>
          <w:sz w:val="20"/>
          <w:szCs w:val="20"/>
        </w:rPr>
        <w:t>9.6.3.3</w:t>
      </w:r>
      <w:r>
        <w:rPr>
          <w:b w:val="0"/>
          <w:bCs w:val="0"/>
          <w:i/>
          <w:iCs/>
          <w:sz w:val="20"/>
          <w:szCs w:val="20"/>
        </w:rPr>
        <w:tab/>
      </w:r>
      <w:r>
        <w:rPr>
          <w:rFonts w:hint="eastAsia" w:eastAsia="宋体"/>
          <w:b w:val="0"/>
          <w:bCs w:val="0"/>
          <w:i/>
          <w:iCs/>
          <w:sz w:val="20"/>
          <w:szCs w:val="20"/>
          <w:lang w:val="en-US" w:eastAsia="zh-CN"/>
        </w:rPr>
        <w:tab/>
      </w:r>
      <w:r>
        <w:rPr>
          <w:b w:val="0"/>
          <w:bCs w:val="0"/>
          <w:i/>
          <w:iCs/>
          <w:sz w:val="20"/>
          <w:szCs w:val="20"/>
        </w:rPr>
        <w:t>Minimum requirement</w:t>
      </w:r>
      <w:r>
        <w:rPr>
          <w:b w:val="0"/>
          <w:bCs w:val="0"/>
          <w:i/>
          <w:iCs/>
          <w:sz w:val="20"/>
          <w:szCs w:val="20"/>
          <w:lang w:eastAsia="ja-JP"/>
        </w:rPr>
        <w:t xml:space="preserve"> for BS type 2-O</w:t>
      </w:r>
      <w:bookmarkEnd w:id="3"/>
      <w:bookmarkEnd w:id="4"/>
      <w:bookmarkEnd w:id="5"/>
      <w:bookmarkEnd w:id="6"/>
      <w:bookmarkEnd w:id="7"/>
      <w:bookmarkEnd w:id="8"/>
      <w:bookmarkEnd w:id="9"/>
      <w:bookmarkEnd w:id="10"/>
      <w:bookmarkEnd w:id="11"/>
    </w:p>
    <w:p>
      <w:pPr>
        <w:rPr>
          <w:i/>
          <w:iCs/>
          <w:sz w:val="20"/>
          <w:szCs w:val="20"/>
        </w:rPr>
      </w:pPr>
      <w:r>
        <w:rPr>
          <w:i/>
          <w:iCs/>
          <w:sz w:val="20"/>
          <w:szCs w:val="20"/>
        </w:rPr>
        <w:t>For MIMO transmission, at each carrier frequency, OTA TAE shall not exceed 65 ns.</w:t>
      </w:r>
    </w:p>
    <w:p>
      <w:pPr>
        <w:rPr>
          <w:i/>
          <w:iCs/>
          <w:sz w:val="20"/>
          <w:szCs w:val="20"/>
        </w:rPr>
      </w:pPr>
      <w:r>
        <w:rPr>
          <w:i/>
          <w:iCs/>
          <w:sz w:val="20"/>
          <w:szCs w:val="20"/>
        </w:rPr>
        <w:t xml:space="preserve">For intra-band contiguous carrier aggregation, with or without MIMO, OTA TAE shall not exceed </w:t>
      </w:r>
      <w:r>
        <w:rPr>
          <w:i/>
          <w:iCs/>
          <w:sz w:val="20"/>
          <w:szCs w:val="20"/>
          <w:lang w:eastAsia="zh-CN"/>
        </w:rPr>
        <w:t>130 ns</w:t>
      </w:r>
      <w:r>
        <w:rPr>
          <w:i/>
          <w:iCs/>
          <w:sz w:val="20"/>
          <w:szCs w:val="20"/>
        </w:rPr>
        <w:t>.</w:t>
      </w:r>
    </w:p>
    <w:p>
      <w:pPr>
        <w:rPr>
          <w:i/>
          <w:iCs/>
          <w:sz w:val="20"/>
          <w:szCs w:val="20"/>
        </w:rPr>
      </w:pPr>
      <w:r>
        <w:rPr>
          <w:i/>
          <w:iCs/>
          <w:sz w:val="20"/>
          <w:szCs w:val="20"/>
        </w:rPr>
        <w:t>For intra-band non-contiguous carrier aggregation, with or without MIMO, OTA TAE shall not exceed 260 ns.</w:t>
      </w:r>
    </w:p>
    <w:p>
      <w:pPr>
        <w:rPr>
          <w:i/>
          <w:iCs/>
          <w:sz w:val="20"/>
          <w:szCs w:val="20"/>
          <w:highlight w:val="yellow"/>
        </w:rPr>
      </w:pPr>
      <w:r>
        <w:rPr>
          <w:i/>
          <w:iCs/>
          <w:sz w:val="20"/>
          <w:szCs w:val="20"/>
          <w:highlight w:val="yellow"/>
        </w:rPr>
        <w:t>For inter-band carrier aggregation, with or without MIMO, OTA TAE shall not exceed 3 µs.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For intra-band non-contiguous carrier aggregation, the OTA TAE requirement (i.e. 260ns) is aligned with MRTD requirements since when RAN4 defined this RF requirements, MRTD discussion in RRM section were referred, and it seems only CBM for intra-band non-contiguous carrier aggregation was discussed at that time.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For inter-band carrier aggregation, the OTA TAE is defined as 3us, which is larger than 260ns. Although the MRTD requirements are discussed in RRM, we suppose that the same MRTD value as intra-band non-contiguous carrier aggregation can be applied to inter-band carrier aggregation, i.e. 260ns for co-located scenario, which means the current OTA TAE for BS type 2-O </w:t>
      </w:r>
      <w:r>
        <w:rPr>
          <w:rFonts w:hint="eastAsia" w:eastAsia="宋体" w:cs="Times New Roman"/>
          <w:b w:val="0"/>
          <w:bCs w:val="0"/>
          <w:sz w:val="20"/>
          <w:szCs w:val="20"/>
          <w:highlight w:val="none"/>
          <w:lang w:val="zh-CN" w:eastAsia="zh-CN"/>
        </w:rPr>
        <w:t>cannot satisfy that assumption for the co-located deployment for FR2</w:t>
      </w:r>
      <w:r>
        <w:rPr>
          <w:rFonts w:hint="eastAsia" w:eastAsia="宋体" w:cs="Times New Roman"/>
          <w:b w:val="0"/>
          <w:bCs w:val="0"/>
          <w:sz w:val="20"/>
          <w:szCs w:val="20"/>
          <w:highlight w:val="none"/>
          <w:lang w:val="en-US" w:eastAsia="zh-CN"/>
        </w:rPr>
        <w:t xml:space="preserve"> inter-band CA. It shall be noted the OTA TAE requirements are applied for any types FR2 inter-band DL combination, regardless of w/ or w/o within the same frequency group.</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Observation: Current </w:t>
      </w:r>
      <w:r>
        <w:rPr>
          <w:rFonts w:hint="eastAsia" w:eastAsia="宋体" w:cs="Times New Roman"/>
          <w:b/>
          <w:bCs/>
          <w:sz w:val="20"/>
          <w:szCs w:val="20"/>
          <w:highlight w:val="none"/>
          <w:lang w:val="zh-CN" w:eastAsia="zh-CN"/>
        </w:rPr>
        <w:t xml:space="preserve">TS38.104 BS </w:t>
      </w:r>
      <w:r>
        <w:rPr>
          <w:rFonts w:hint="eastAsia" w:eastAsia="宋体" w:cs="Times New Roman"/>
          <w:b/>
          <w:bCs/>
          <w:sz w:val="20"/>
          <w:szCs w:val="20"/>
          <w:highlight w:val="none"/>
          <w:lang w:val="en-US" w:eastAsia="zh-CN"/>
        </w:rPr>
        <w:t xml:space="preserve">OTA </w:t>
      </w:r>
      <w:r>
        <w:rPr>
          <w:rFonts w:hint="eastAsia" w:eastAsia="宋体" w:cs="Times New Roman"/>
          <w:b/>
          <w:bCs/>
          <w:sz w:val="20"/>
          <w:szCs w:val="20"/>
          <w:highlight w:val="none"/>
          <w:lang w:val="zh-CN" w:eastAsia="zh-CN"/>
        </w:rPr>
        <w:t>TAE requirement cannot satisfy that assumption for the co-located deployment for FR2</w:t>
      </w:r>
      <w:r>
        <w:rPr>
          <w:rFonts w:hint="eastAsia" w:eastAsia="宋体" w:cs="Times New Roman"/>
          <w:b/>
          <w:bCs/>
          <w:sz w:val="20"/>
          <w:szCs w:val="20"/>
          <w:highlight w:val="none"/>
          <w:lang w:val="en-US" w:eastAsia="zh-CN"/>
        </w:rPr>
        <w:t xml:space="preserve"> inter-band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In addition, only MRTD for non-co-located scenarios for </w:t>
      </w:r>
      <w:r>
        <w:rPr>
          <w:rFonts w:hint="default" w:eastAsia="宋体" w:cs="Times New Roman"/>
          <w:b w:val="0"/>
          <w:bCs w:val="0"/>
          <w:sz w:val="20"/>
          <w:szCs w:val="20"/>
          <w:highlight w:val="none"/>
          <w:lang w:val="en-US" w:eastAsia="zh-CN"/>
        </w:rPr>
        <w:t>inter-band NR carrier aggregation</w:t>
      </w:r>
      <w:r>
        <w:rPr>
          <w:rFonts w:hint="eastAsia" w:eastAsia="宋体" w:cs="Times New Roman"/>
          <w:b w:val="0"/>
          <w:bCs w:val="0"/>
          <w:sz w:val="20"/>
          <w:szCs w:val="20"/>
          <w:highlight w:val="none"/>
          <w:lang w:val="en-US" w:eastAsia="zh-CN"/>
        </w:rPr>
        <w:t xml:space="preserve"> defined in TS38.133, where it </w:t>
      </w:r>
      <w:r>
        <w:rPr>
          <w:rFonts w:hint="default" w:eastAsia="宋体" w:cs="Times New Roman"/>
          <w:b w:val="0"/>
          <w:bCs w:val="0"/>
          <w:sz w:val="20"/>
          <w:szCs w:val="20"/>
          <w:highlight w:val="none"/>
          <w:lang w:val="en-US" w:eastAsia="zh-CN"/>
        </w:rPr>
        <w:t>applies to the UE capable of independent beam management for FR2 inter-band CA.</w:t>
      </w:r>
    </w:p>
    <w:p>
      <w:pPr>
        <w:keepNext/>
        <w:keepLines/>
        <w:pageBreakBefore w:val="0"/>
        <w:widowControl/>
        <w:numPr>
          <w:ilvl w:val="0"/>
          <w:numId w:val="0"/>
        </w:numPr>
        <w:tabs>
          <w:tab w:val="left" w:pos="420"/>
        </w:tabs>
        <w:kinsoku/>
        <w:wordWrap/>
        <w:overflowPunct/>
        <w:topLinePunct w:val="0"/>
        <w:autoSpaceDE/>
        <w:autoSpaceDN/>
        <w:bidi w:val="0"/>
        <w:adjustRightInd/>
        <w:snapToGrid/>
        <w:ind w:leftChars="0"/>
        <w:textAlignment w:val="auto"/>
        <w:outlineLvl w:val="9"/>
        <w:rPr>
          <w:rFonts w:hint="default" w:ascii="Times New Roman" w:hAnsi="Times New Roman" w:cs="Times New Roman"/>
          <w:i/>
          <w:iCs/>
          <w:color w:val="auto"/>
          <w:sz w:val="20"/>
          <w:szCs w:val="20"/>
          <w:lang w:eastAsia="ko-KR"/>
        </w:rPr>
      </w:pPr>
      <w:r>
        <w:rPr>
          <w:rFonts w:hint="default" w:ascii="Times New Roman" w:hAnsi="Times New Roman" w:cs="Times New Roman"/>
          <w:i/>
          <w:iCs/>
          <w:color w:val="auto"/>
          <w:sz w:val="20"/>
          <w:szCs w:val="20"/>
          <w:lang w:eastAsia="ko-KR"/>
        </w:rPr>
        <w:t>7.</w:t>
      </w:r>
      <w:r>
        <w:rPr>
          <w:rFonts w:hint="default" w:ascii="Times New Roman" w:hAnsi="Times New Roman" w:eastAsia="Malgun Gothic" w:cs="Times New Roman"/>
          <w:i/>
          <w:iCs/>
          <w:color w:val="auto"/>
          <w:sz w:val="20"/>
          <w:szCs w:val="20"/>
        </w:rPr>
        <w:t>5</w:t>
      </w:r>
      <w:r>
        <w:rPr>
          <w:rFonts w:hint="default" w:ascii="Times New Roman" w:hAnsi="Times New Roman" w:cs="Times New Roman"/>
          <w:i/>
          <w:iCs/>
          <w:color w:val="auto"/>
          <w:sz w:val="20"/>
          <w:szCs w:val="20"/>
          <w:lang w:eastAsia="ko-KR"/>
        </w:rPr>
        <w:t>.</w:t>
      </w:r>
      <w:r>
        <w:rPr>
          <w:rFonts w:hint="default" w:ascii="Times New Roman" w:hAnsi="Times New Roman" w:eastAsia="Malgun Gothic" w:cs="Times New Roman"/>
          <w:i/>
          <w:iCs/>
          <w:color w:val="auto"/>
          <w:sz w:val="20"/>
          <w:szCs w:val="20"/>
          <w:lang w:eastAsia="ko-KR"/>
        </w:rPr>
        <w:t>4</w:t>
      </w:r>
      <w:r>
        <w:rPr>
          <w:rFonts w:hint="default" w:ascii="Times New Roman" w:hAnsi="Times New Roman" w:cs="Times New Roman"/>
          <w:i/>
          <w:iCs/>
          <w:color w:val="auto"/>
          <w:sz w:val="20"/>
          <w:szCs w:val="20"/>
          <w:lang w:eastAsia="ko-KR"/>
        </w:rPr>
        <w:tab/>
      </w:r>
      <w:r>
        <w:rPr>
          <w:rFonts w:hint="eastAsia" w:ascii="Times New Roman" w:hAnsi="Times New Roman" w:eastAsia="宋体" w:cs="Times New Roman"/>
          <w:i/>
          <w:iCs/>
          <w:color w:val="auto"/>
          <w:sz w:val="20"/>
          <w:szCs w:val="20"/>
          <w:lang w:val="en-US" w:eastAsia="zh-CN"/>
        </w:rPr>
        <w:tab/>
      </w:r>
      <w:r>
        <w:rPr>
          <w:rFonts w:hint="default" w:ascii="Times New Roman" w:hAnsi="Times New Roman" w:cs="Times New Roman"/>
          <w:i/>
          <w:iCs/>
          <w:color w:val="auto"/>
          <w:sz w:val="20"/>
          <w:szCs w:val="20"/>
          <w:lang w:eastAsia="ko-KR"/>
        </w:rPr>
        <w:t>Minimum Requirements for NR Carrier Aggregation</w:t>
      </w:r>
    </w:p>
    <w:p>
      <w:pPr>
        <w:rPr>
          <w:rFonts w:hint="default" w:ascii="Times New Roman" w:hAnsi="Times New Roman" w:eastAsia="Malgun Gothic" w:cs="Times New Roman"/>
          <w:i/>
          <w:iCs/>
          <w:color w:val="auto"/>
          <w:sz w:val="20"/>
          <w:szCs w:val="20"/>
          <w:lang w:eastAsia="zh-CN"/>
        </w:rPr>
      </w:pPr>
      <w:r>
        <w:rPr>
          <w:rFonts w:hint="default" w:ascii="Times New Roman" w:hAnsi="Times New Roman" w:cs="Times New Roman"/>
          <w:i/>
          <w:iCs/>
          <w:color w:val="auto"/>
          <w:sz w:val="20"/>
          <w:szCs w:val="20"/>
        </w:rPr>
        <w:t xml:space="preserve">The UE shall be capable of handling at least a relative </w:t>
      </w:r>
      <w:r>
        <w:rPr>
          <w:rFonts w:hint="default" w:ascii="Times New Roman" w:hAnsi="Times New Roman" w:eastAsia="Malgun Gothic" w:cs="Times New Roman"/>
          <w:i/>
          <w:iCs/>
          <w:color w:val="auto"/>
          <w:sz w:val="20"/>
          <w:szCs w:val="20"/>
          <w:lang w:eastAsia="zh-CN"/>
        </w:rPr>
        <w:t>transmission</w:t>
      </w:r>
      <w:r>
        <w:rPr>
          <w:rFonts w:hint="default" w:ascii="Times New Roman" w:hAnsi="Times New Roman" w:cs="Times New Roman"/>
          <w:i/>
          <w:iCs/>
          <w:color w:val="auto"/>
          <w:sz w:val="20"/>
          <w:szCs w:val="20"/>
        </w:rPr>
        <w:t xml:space="preserve"> timing difference between slot timing of all pairs of TAGs </w:t>
      </w:r>
      <w:r>
        <w:rPr>
          <w:rFonts w:hint="default" w:ascii="Times New Roman" w:hAnsi="Times New Roman" w:eastAsia="Malgun Gothic" w:cs="Times New Roman"/>
          <w:i/>
          <w:iCs/>
          <w:color w:val="auto"/>
          <w:sz w:val="20"/>
          <w:szCs w:val="20"/>
          <w:lang w:eastAsia="zh-CN"/>
        </w:rPr>
        <w:t>as shown in Table 7.5.4-1,</w:t>
      </w:r>
      <w:r>
        <w:rPr>
          <w:rFonts w:hint="default" w:ascii="Times New Roman" w:hAnsi="Times New Roman" w:cs="Times New Roman"/>
          <w:i/>
          <w:iCs/>
          <w:color w:val="auto"/>
          <w:sz w:val="20"/>
          <w:szCs w:val="20"/>
        </w:rPr>
        <w:t xml:space="preserve"> provided that the UE is</w:t>
      </w:r>
      <w:r>
        <w:rPr>
          <w:rFonts w:hint="default" w:ascii="Times New Roman" w:hAnsi="Times New Roman" w:eastAsia="Malgun Gothic" w:cs="Times New Roman"/>
          <w:i/>
          <w:iCs/>
          <w:color w:val="auto"/>
          <w:sz w:val="20"/>
          <w:szCs w:val="20"/>
          <w:lang w:eastAsia="zh-CN"/>
        </w:rPr>
        <w:t>:</w:t>
      </w:r>
    </w:p>
    <w:p>
      <w:pPr>
        <w:pStyle w:val="197"/>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rPr>
        <w:tab/>
      </w:r>
      <w:r>
        <w:rPr>
          <w:rFonts w:hint="default" w:ascii="Times New Roman" w:hAnsi="Times New Roman" w:cs="Times New Roman"/>
          <w:i/>
          <w:iCs/>
          <w:color w:val="auto"/>
          <w:sz w:val="20"/>
          <w:szCs w:val="20"/>
        </w:rPr>
        <w:t>configured with the pTAG and the sTAG for inter-band NR carrier aggregation in SA or NR-DC mode, or</w:t>
      </w:r>
    </w:p>
    <w:p>
      <w:pPr>
        <w:pStyle w:val="197"/>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w:t>
      </w:r>
      <w:r>
        <w:rPr>
          <w:rFonts w:hint="default" w:ascii="Times New Roman" w:hAnsi="Times New Roman" w:cs="Times New Roman"/>
          <w:i/>
          <w:iCs/>
          <w:color w:val="auto"/>
          <w:sz w:val="20"/>
          <w:szCs w:val="20"/>
        </w:rPr>
        <w:tab/>
      </w:r>
      <w:r>
        <w:rPr>
          <w:rFonts w:hint="default" w:ascii="Times New Roman" w:hAnsi="Times New Roman" w:cs="Times New Roman"/>
          <w:i/>
          <w:iCs/>
          <w:color w:val="auto"/>
          <w:sz w:val="20"/>
          <w:szCs w:val="20"/>
        </w:rPr>
        <w:t>configured with more than one sTAG for inter-band NR carrier aggregation in EN-DC or NE-DC mode.</w:t>
      </w:r>
    </w:p>
    <w:p>
      <w:pPr>
        <w:pStyle w:val="168"/>
        <w:keepNext/>
        <w:keepLines/>
        <w:pageBreakBefore w:val="0"/>
        <w:widowControl/>
        <w:kinsoku/>
        <w:wordWrap/>
        <w:overflowPunct/>
        <w:topLinePunct w:val="0"/>
        <w:autoSpaceDE/>
        <w:autoSpaceDN/>
        <w:bidi w:val="0"/>
        <w:adjustRightInd/>
        <w:snapToGrid/>
        <w:textAlignment w:val="auto"/>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Table 7.</w:t>
      </w:r>
      <w:r>
        <w:rPr>
          <w:rFonts w:hint="default" w:ascii="Times New Roman" w:hAnsi="Times New Roman" w:eastAsia="Malgun Gothic" w:cs="Times New Roman"/>
          <w:i/>
          <w:iCs/>
          <w:color w:val="auto"/>
          <w:sz w:val="20"/>
          <w:szCs w:val="20"/>
          <w:lang w:eastAsia="zh-CN"/>
        </w:rPr>
        <w:t>5</w:t>
      </w:r>
      <w:r>
        <w:rPr>
          <w:rFonts w:hint="default" w:ascii="Times New Roman" w:hAnsi="Times New Roman" w:cs="Times New Roman"/>
          <w:i/>
          <w:iCs/>
          <w:color w:val="auto"/>
          <w:sz w:val="20"/>
          <w:szCs w:val="20"/>
        </w:rPr>
        <w:t>.4-</w:t>
      </w:r>
      <w:r>
        <w:rPr>
          <w:rFonts w:hint="default" w:ascii="Times New Roman" w:hAnsi="Times New Roman" w:eastAsia="Malgun Gothic" w:cs="Times New Roman"/>
          <w:i/>
          <w:iCs/>
          <w:color w:val="auto"/>
          <w:sz w:val="20"/>
          <w:szCs w:val="20"/>
          <w:lang w:eastAsia="zh-CN"/>
        </w:rPr>
        <w:t>1</w:t>
      </w:r>
      <w:r>
        <w:rPr>
          <w:rFonts w:hint="default" w:ascii="Times New Roman" w:hAnsi="Times New Roman" w:eastAsia="Malgun Gothic" w:cs="Times New Roman"/>
          <w:i/>
          <w:iCs/>
          <w:color w:val="auto"/>
          <w:sz w:val="20"/>
          <w:szCs w:val="20"/>
          <w:lang w:eastAsia="ko-KR"/>
        </w:rPr>
        <w:t>:</w:t>
      </w:r>
      <w:r>
        <w:rPr>
          <w:rFonts w:hint="default" w:ascii="Times New Roman" w:hAnsi="Times New Roman" w:cs="Times New Roman"/>
          <w:i/>
          <w:iCs/>
          <w:color w:val="auto"/>
          <w:sz w:val="20"/>
          <w:szCs w:val="20"/>
        </w:rPr>
        <w:t xml:space="preserve"> Maximum </w:t>
      </w:r>
      <w:r>
        <w:rPr>
          <w:rFonts w:hint="default" w:ascii="Times New Roman" w:hAnsi="Times New Roman" w:cs="Times New Roman"/>
          <w:i/>
          <w:iCs/>
          <w:color w:val="auto"/>
          <w:sz w:val="20"/>
          <w:szCs w:val="20"/>
          <w:lang w:eastAsia="ko-KR"/>
        </w:rPr>
        <w:t xml:space="preserve">uplink </w:t>
      </w:r>
      <w:r>
        <w:rPr>
          <w:rFonts w:hint="default" w:ascii="Times New Roman" w:hAnsi="Times New Roman" w:eastAsia="Malgun Gothic" w:cs="Times New Roman"/>
          <w:i/>
          <w:iCs/>
          <w:color w:val="auto"/>
          <w:sz w:val="20"/>
          <w:szCs w:val="20"/>
          <w:lang w:eastAsia="zh-CN"/>
        </w:rPr>
        <w:t>transmission</w:t>
      </w:r>
      <w:r>
        <w:rPr>
          <w:rFonts w:hint="default" w:ascii="Times New Roman" w:hAnsi="Times New Roman" w:cs="Times New Roman"/>
          <w:i/>
          <w:iCs/>
          <w:color w:val="auto"/>
          <w:sz w:val="20"/>
          <w:szCs w:val="20"/>
        </w:rPr>
        <w:t xml:space="preserve"> timing difference requirement for inter-band NR carrier aggregation</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3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211"/>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Frequency Range of the pair of TAGs</w:t>
            </w:r>
          </w:p>
        </w:tc>
        <w:tc>
          <w:tcPr>
            <w:tcW w:w="3003" w:type="dxa"/>
            <w:shd w:val="clear" w:color="auto" w:fill="auto"/>
          </w:tcPr>
          <w:p>
            <w:pPr>
              <w:pStyle w:val="211"/>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 xml:space="preserve">Maximum </w:t>
            </w:r>
            <w:r>
              <w:rPr>
                <w:rFonts w:hint="default" w:ascii="Times New Roman" w:hAnsi="Times New Roman" w:cs="Times New Roman"/>
                <w:i/>
                <w:iCs/>
                <w:color w:val="auto"/>
                <w:sz w:val="20"/>
                <w:szCs w:val="20"/>
                <w:lang w:eastAsia="ko-KR"/>
              </w:rPr>
              <w:t xml:space="preserve">uplink </w:t>
            </w:r>
            <w:r>
              <w:rPr>
                <w:rFonts w:hint="default" w:ascii="Times New Roman" w:hAnsi="Times New Roman" w:cs="Times New Roman"/>
                <w:i/>
                <w:iCs/>
                <w:color w:val="auto"/>
                <w:sz w:val="20"/>
                <w:szCs w:val="20"/>
              </w:rPr>
              <w:t xml:space="preserve">transmission timing difference (µs)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210"/>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FR1</w:t>
            </w:r>
          </w:p>
        </w:tc>
        <w:tc>
          <w:tcPr>
            <w:tcW w:w="3003" w:type="dxa"/>
            <w:shd w:val="clear" w:color="auto" w:fill="auto"/>
          </w:tcPr>
          <w:p>
            <w:pPr>
              <w:pStyle w:val="210"/>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eastAsia="zh-CN"/>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210"/>
              <w:rPr>
                <w:rFonts w:hint="default" w:ascii="Times New Roman" w:hAnsi="Times New Roman" w:cs="Times New Roman"/>
                <w:i/>
                <w:iCs/>
                <w:color w:val="auto"/>
                <w:sz w:val="20"/>
                <w:szCs w:val="20"/>
                <w:highlight w:val="yellow"/>
              </w:rPr>
            </w:pPr>
            <w:r>
              <w:rPr>
                <w:rFonts w:hint="default" w:ascii="Times New Roman" w:hAnsi="Times New Roman" w:cs="Times New Roman"/>
                <w:i/>
                <w:iCs/>
                <w:color w:val="auto"/>
                <w:sz w:val="20"/>
                <w:szCs w:val="20"/>
                <w:highlight w:val="yellow"/>
              </w:rPr>
              <w:t>FR2</w:t>
            </w:r>
          </w:p>
        </w:tc>
        <w:tc>
          <w:tcPr>
            <w:tcW w:w="3003" w:type="dxa"/>
            <w:shd w:val="clear" w:color="auto" w:fill="auto"/>
          </w:tcPr>
          <w:p>
            <w:pPr>
              <w:pStyle w:val="210"/>
              <w:rPr>
                <w:rFonts w:hint="default" w:ascii="Times New Roman" w:hAnsi="Times New Roman" w:cs="Times New Roman"/>
                <w:i/>
                <w:iCs/>
                <w:color w:val="auto"/>
                <w:sz w:val="20"/>
                <w:szCs w:val="20"/>
                <w:highlight w:val="yellow"/>
                <w:lang w:eastAsia="zh-CN"/>
              </w:rPr>
            </w:pPr>
            <w:r>
              <w:rPr>
                <w:rFonts w:hint="default" w:ascii="Times New Roman" w:hAnsi="Times New Roman" w:cs="Times New Roman"/>
                <w:i/>
                <w:iCs/>
                <w:color w:val="auto"/>
                <w:sz w:val="20"/>
                <w:szCs w:val="20"/>
                <w:highlight w:val="yellow"/>
                <w:lang w:eastAsia="zh-CN"/>
              </w:rPr>
              <w:t>8.5</w:t>
            </w:r>
            <w:r>
              <w:rPr>
                <w:rFonts w:hint="default" w:ascii="Times New Roman" w:hAnsi="Times New Roman" w:cs="Times New Roman"/>
                <w:i/>
                <w:iCs/>
                <w:color w:val="auto"/>
                <w:sz w:val="20"/>
                <w:szCs w:val="20"/>
                <w:highlight w:val="yellow"/>
                <w:vertAlign w:val="superscript"/>
                <w:lang w:eastAsia="zh-CN"/>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1" w:type="dxa"/>
            <w:shd w:val="clear" w:color="auto" w:fill="auto"/>
          </w:tcPr>
          <w:p>
            <w:pPr>
              <w:pStyle w:val="210"/>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rPr>
              <w:t>Between FR1 and FR2</w:t>
            </w:r>
          </w:p>
        </w:tc>
        <w:tc>
          <w:tcPr>
            <w:tcW w:w="3003" w:type="dxa"/>
            <w:shd w:val="clear" w:color="auto" w:fill="auto"/>
          </w:tcPr>
          <w:p>
            <w:pPr>
              <w:pStyle w:val="210"/>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eastAsia="zh-CN"/>
              </w:rPr>
              <w:t xml:space="preserve">26.1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4" w:type="dxa"/>
            <w:gridSpan w:val="2"/>
            <w:shd w:val="clear" w:color="auto" w:fill="auto"/>
          </w:tcPr>
          <w:p>
            <w:pPr>
              <w:pStyle w:val="142"/>
              <w:rPr>
                <w:rFonts w:hint="default" w:ascii="Times New Roman" w:hAnsi="Times New Roman" w:cs="Times New Roman"/>
                <w:i/>
                <w:iCs/>
                <w:color w:val="auto"/>
                <w:sz w:val="20"/>
                <w:szCs w:val="20"/>
                <w:lang w:eastAsia="zh-CN"/>
              </w:rPr>
            </w:pPr>
            <w:r>
              <w:rPr>
                <w:rFonts w:hint="default" w:ascii="Times New Roman" w:hAnsi="Times New Roman" w:cs="Times New Roman"/>
                <w:i/>
                <w:iCs/>
                <w:color w:val="auto"/>
                <w:sz w:val="20"/>
                <w:szCs w:val="20"/>
                <w:lang w:eastAsia="zh-CN"/>
              </w:rPr>
              <w:t>Note1:</w:t>
            </w:r>
            <w:r>
              <w:rPr>
                <w:rFonts w:hint="default" w:ascii="Times New Roman" w:hAnsi="Times New Roman" w:cs="Times New Roman"/>
                <w:i/>
                <w:iCs/>
                <w:color w:val="auto"/>
                <w:sz w:val="20"/>
                <w:szCs w:val="20"/>
                <w:lang w:eastAsia="ko-KR"/>
              </w:rPr>
              <w:tab/>
            </w:r>
            <w:r>
              <w:rPr>
                <w:rFonts w:hint="default" w:ascii="Times New Roman" w:hAnsi="Times New Roman" w:eastAsia="Yu Mincho" w:cs="Times New Roman"/>
                <w:i/>
                <w:iCs/>
                <w:color w:val="auto"/>
                <w:sz w:val="20"/>
                <w:szCs w:val="20"/>
                <w:lang w:eastAsia="ja-JP"/>
              </w:rPr>
              <w:t xml:space="preserve">This requirement </w:t>
            </w:r>
            <w:r>
              <w:rPr>
                <w:rFonts w:hint="default" w:ascii="Times New Roman" w:hAnsi="Times New Roman" w:cs="Times New Roman"/>
                <w:i/>
                <w:iCs/>
                <w:color w:val="auto"/>
                <w:sz w:val="20"/>
                <w:szCs w:val="20"/>
              </w:rPr>
              <w:t>applies to the UE capable of independent beam management for FR2 inter-band CA</w:t>
            </w:r>
            <w:r>
              <w:rPr>
                <w:rFonts w:hint="default" w:ascii="Times New Roman" w:hAnsi="Times New Roman" w:cs="Times New Roman"/>
                <w:i/>
                <w:iCs/>
                <w:color w:val="auto"/>
                <w:sz w:val="20"/>
                <w:szCs w:val="20"/>
                <w:lang w:eastAsia="zh-CN"/>
              </w:rPr>
              <w:t>.</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Since the MRTD requirements are discussed in RRM section, we think it is better to keep consistence among UE, BS and RRM specs. To compliance to CBM UE capability, we suppose that new values (i.e. likely 260ns with Note 2 in table 7.5.4-1) will be introduced in TS38.133. If it is the case, then some updated for OTA TAE requirements in TS38.104 are also needed even we  think it is the precondition to discuss the UE CBM capability for inter band DL CA. Otherwise, it does not make sense to discuss the CBM UE capability for inter-band DL CA due to the current BS spec cannot </w:t>
      </w:r>
      <w:r>
        <w:rPr>
          <w:rFonts w:hint="eastAsia" w:eastAsia="宋体" w:cs="Times New Roman"/>
          <w:b w:val="0"/>
          <w:bCs w:val="0"/>
          <w:sz w:val="20"/>
          <w:szCs w:val="20"/>
          <w:highlight w:val="none"/>
          <w:lang w:val="zh-CN" w:eastAsia="zh-CN"/>
        </w:rPr>
        <w:t>satisfy the co-located assumption</w:t>
      </w:r>
      <w:r>
        <w:rPr>
          <w:rFonts w:hint="eastAsia" w:eastAsia="宋体" w:cs="Times New Roman"/>
          <w:b w:val="0"/>
          <w:bCs w:val="0"/>
          <w:sz w:val="20"/>
          <w:szCs w:val="20"/>
          <w:highlight w:val="none"/>
          <w:lang w:val="en-US" w:eastAsia="zh-CN"/>
        </w:rPr>
        <w:t>, unless server performance degradation is acceptable.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yellow"/>
          <w:lang w:val="en-US" w:eastAsia="zh-CN"/>
        </w:rPr>
      </w:pPr>
      <w:r>
        <w:rPr>
          <w:rFonts w:hint="eastAsia" w:eastAsia="宋体" w:cs="Times New Roman"/>
          <w:b/>
          <w:bCs/>
          <w:sz w:val="20"/>
          <w:szCs w:val="20"/>
          <w:highlight w:val="none"/>
          <w:lang w:val="en-US" w:eastAsia="zh-CN"/>
        </w:rPr>
        <w:t>Proposal 1.  To compliance to CBM UE capability for inter-band DL CA, both TS38.133(MRTD) and TS38.104 (OTA TAE requirements) need to be discussed/updated accordingly.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1"/>
        <w:rPr>
          <w:rFonts w:hint="default" w:ascii="Arial" w:hAnsi="Arial" w:eastAsia="MS Mincho" w:cs="Times New Roman"/>
          <w:sz w:val="20"/>
          <w:szCs w:val="20"/>
          <w:lang w:val="en-US" w:eastAsia="zh-CN" w:bidi="ar-SA"/>
        </w:rPr>
      </w:pPr>
      <w:r>
        <w:rPr>
          <w:rFonts w:hint="eastAsia" w:ascii="Arial" w:hAnsi="Arial" w:eastAsia="MS Mincho" w:cs="Times New Roman"/>
          <w:sz w:val="20"/>
          <w:szCs w:val="20"/>
          <w:lang w:val="en-US" w:eastAsia="zh-CN" w:bidi="ar-SA"/>
        </w:rPr>
        <w:t>2.2 CBM&amp;IBM a</w:t>
      </w:r>
      <w:r>
        <w:rPr>
          <w:rFonts w:hint="eastAsia" w:ascii="Arial" w:hAnsi="Arial" w:eastAsia="MS Mincho" w:cs="Times New Roman"/>
          <w:sz w:val="20"/>
          <w:szCs w:val="20"/>
          <w:lang w:val="en-GB" w:eastAsia="ja-JP" w:bidi="ar-SA"/>
        </w:rPr>
        <w:t xml:space="preserve">pplicability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The a</w:t>
      </w:r>
      <w:r>
        <w:rPr>
          <w:rFonts w:hint="eastAsia" w:eastAsia="宋体" w:cs="Times New Roman"/>
          <w:b w:val="0"/>
          <w:bCs w:val="0"/>
          <w:sz w:val="20"/>
          <w:szCs w:val="20"/>
          <w:highlight w:val="none"/>
          <w:lang w:val="en-GB" w:eastAsia="ja-JP"/>
        </w:rPr>
        <w:t xml:space="preserve">pplicability of CBM/IBM for different CA </w:t>
      </w:r>
      <w:r>
        <w:rPr>
          <w:rFonts w:hint="eastAsia" w:eastAsia="宋体" w:cs="Times New Roman"/>
          <w:b w:val="0"/>
          <w:bCs w:val="0"/>
          <w:sz w:val="20"/>
          <w:szCs w:val="20"/>
          <w:highlight w:val="none"/>
          <w:lang w:val="en-US" w:eastAsia="zh-CN"/>
        </w:rPr>
        <w:t xml:space="preserve">have widely discussed in the last meeting. For CBM, it is </w:t>
      </w:r>
      <w:r>
        <w:rPr>
          <w:rFonts w:hint="default" w:eastAsia="宋体" w:cs="Times New Roman"/>
          <w:b w:val="0"/>
          <w:bCs w:val="0"/>
          <w:sz w:val="20"/>
          <w:szCs w:val="20"/>
          <w:highlight w:val="none"/>
          <w:lang w:val="en-US" w:eastAsia="zh-CN"/>
        </w:rPr>
        <w:t>FFS whether CBM can only support CA configurations within same frequency group</w:t>
      </w:r>
      <w:r>
        <w:rPr>
          <w:rFonts w:hint="eastAsia" w:eastAsia="宋体" w:cs="Times New Roman"/>
          <w:b w:val="0"/>
          <w:bCs w:val="0"/>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According to the discussion, the same </w:t>
      </w:r>
      <w:r>
        <w:rPr>
          <w:rFonts w:hint="default" w:eastAsia="宋体" w:cs="Times New Roman"/>
          <w:b w:val="0"/>
          <w:bCs w:val="0"/>
          <w:sz w:val="20"/>
          <w:szCs w:val="20"/>
          <w:highlight w:val="none"/>
          <w:lang w:val="en-US" w:eastAsia="zh-CN"/>
        </w:rPr>
        <w:t>frequency group</w:t>
      </w:r>
      <w:r>
        <w:rPr>
          <w:rFonts w:hint="eastAsia" w:eastAsia="宋体" w:cs="Times New Roman"/>
          <w:b w:val="0"/>
          <w:bCs w:val="0"/>
          <w:sz w:val="20"/>
          <w:szCs w:val="20"/>
          <w:highlight w:val="none"/>
          <w:lang w:val="en-US" w:eastAsia="zh-CN"/>
        </w:rPr>
        <w:t xml:space="preserve"> as Rel-15 is applied to the Rel-16 discussion although the </w:t>
      </w:r>
      <w:r>
        <w:rPr>
          <w:rFonts w:hint="default" w:eastAsia="宋体" w:cs="Times New Roman"/>
          <w:b w:val="0"/>
          <w:bCs w:val="0"/>
          <w:sz w:val="20"/>
          <w:szCs w:val="20"/>
          <w:highlight w:val="none"/>
          <w:lang w:val="en-US" w:eastAsia="zh-CN"/>
        </w:rPr>
        <w:t>“frequency group” term shall not be defined in specification</w:t>
      </w:r>
      <w:r>
        <w:rPr>
          <w:rFonts w:hint="eastAsia" w:eastAsia="宋体" w:cs="Times New Roman"/>
          <w:b w:val="0"/>
          <w:bCs w:val="0"/>
          <w:sz w:val="20"/>
          <w:szCs w:val="20"/>
          <w:highlight w:val="none"/>
          <w:lang w:val="en-US" w:eastAsia="zh-CN"/>
        </w:rPr>
        <w:t>. Currently, only band n257/n258/n259/n260/n261 are defined in g50 version specification.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Let</w:t>
      </w:r>
      <w:r>
        <w:rPr>
          <w:rFonts w:hint="default" w:eastAsia="宋体" w:cs="Times New Roman"/>
          <w:b w:val="0"/>
          <w:bCs w:val="0"/>
          <w:sz w:val="20"/>
          <w:szCs w:val="20"/>
          <w:highlight w:val="none"/>
          <w:lang w:val="en-US" w:eastAsia="zh-CN"/>
        </w:rPr>
        <w:t>’</w:t>
      </w:r>
      <w:r>
        <w:rPr>
          <w:rFonts w:hint="eastAsia" w:eastAsia="宋体" w:cs="Times New Roman"/>
          <w:b w:val="0"/>
          <w:bCs w:val="0"/>
          <w:sz w:val="20"/>
          <w:szCs w:val="20"/>
          <w:highlight w:val="none"/>
          <w:lang w:val="en-US" w:eastAsia="zh-CN"/>
        </w:rPr>
        <w:t xml:space="preserve">s look at each frequency group, shown in the Fig 1.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drawing>
          <wp:inline distT="0" distB="0" distL="114300" distR="114300">
            <wp:extent cx="6120130" cy="2294255"/>
            <wp:effectExtent l="0" t="0" r="13970"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6120130" cy="2294255"/>
                    </a:xfrm>
                    <a:prstGeom prst="rect">
                      <a:avLst/>
                    </a:prstGeom>
                    <a:noFill/>
                    <a:ln>
                      <a:noFill/>
                    </a:ln>
                  </pic:spPr>
                </pic:pic>
              </a:graphicData>
            </a:graphic>
          </wp:inline>
        </w:drawing>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Fig 1. Current frequency group 1 and possible new bands introduced in the future.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For frequency group 2, the largest frequency separation is 6500MHz, while 5250MHz for frequency group 1. For the inter-band CA where the constitute bands belong to the same frequency group, single transceiver path is applicable to support CBM capability, which means single transceiver path can at least support 6500MHz frequency separation according to the frequency group 2, therefore it seems feasible to support the largest frequency separation of 6500MHz for group 1, then some overlapping range will happen.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If new bands are introduced in the future, i.e. band nX and band nY in the Fig 1, where the largest frequency separation between band n261 and band nX is smaller than 5250MHz, and the largest frequency separation between band n260 and band nY is smaller than 6500MHz. In this case, which frequency group for band nX and band nY belong to? How about band nZ if band nZ is located in overlapped area?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In our understanding, RAN4 will not define </w:t>
      </w:r>
      <w:r>
        <w:rPr>
          <w:rFonts w:hint="default" w:eastAsia="宋体" w:cs="Times New Roman"/>
          <w:b w:val="0"/>
          <w:bCs w:val="0"/>
          <w:sz w:val="20"/>
          <w:szCs w:val="20"/>
          <w:highlight w:val="none"/>
          <w:lang w:val="en-US" w:eastAsia="zh-CN"/>
        </w:rPr>
        <w:t>frequency group</w:t>
      </w:r>
      <w:r>
        <w:rPr>
          <w:rFonts w:hint="eastAsia" w:eastAsia="宋体" w:cs="Times New Roman"/>
          <w:b w:val="0"/>
          <w:bCs w:val="0"/>
          <w:sz w:val="20"/>
          <w:szCs w:val="20"/>
          <w:highlight w:val="none"/>
          <w:lang w:val="en-US" w:eastAsia="zh-CN"/>
        </w:rPr>
        <w:t xml:space="preserve"> in the spec, so it may trigger the discussion again in future on how to group the frequency bands and how to apply CBM if more FR2 bands are introduce. Although it may be premature to discuss the new possible bands at this stage, if the band nX and band nY are grouped as new frequency groups, then the inter-band DL CA band combinations such as band n261+band nX and band n260+band nY can be seen as different groups, but single transceiver path can also be applied to support such different groups band combinations, which means CBM may still valid, depending on UE</w:t>
      </w:r>
      <w:r>
        <w:rPr>
          <w:rFonts w:hint="default" w:eastAsia="宋体" w:cs="Times New Roman"/>
          <w:b w:val="0"/>
          <w:bCs w:val="0"/>
          <w:sz w:val="20"/>
          <w:szCs w:val="20"/>
          <w:highlight w:val="none"/>
          <w:lang w:val="en-US" w:eastAsia="zh-CN"/>
        </w:rPr>
        <w:t>’</w:t>
      </w:r>
      <w:r>
        <w:rPr>
          <w:rFonts w:hint="eastAsia" w:eastAsia="宋体" w:cs="Times New Roman"/>
          <w:b w:val="0"/>
          <w:bCs w:val="0"/>
          <w:sz w:val="20"/>
          <w:szCs w:val="20"/>
          <w:highlight w:val="none"/>
          <w:lang w:val="en-US" w:eastAsia="zh-CN"/>
        </w:rPr>
        <w:t>s RF hardware capability on how to implement inter-band DL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Since CBM and IBM are also UE</w:t>
      </w:r>
      <w:r>
        <w:rPr>
          <w:rFonts w:hint="default" w:eastAsia="宋体" w:cs="Times New Roman"/>
          <w:b w:val="0"/>
          <w:bCs w:val="0"/>
          <w:sz w:val="20"/>
          <w:szCs w:val="20"/>
          <w:highlight w:val="none"/>
          <w:lang w:val="en-US" w:eastAsia="zh-CN"/>
        </w:rPr>
        <w:t>’</w:t>
      </w:r>
      <w:r>
        <w:rPr>
          <w:rFonts w:hint="eastAsia" w:eastAsia="宋体" w:cs="Times New Roman"/>
          <w:b w:val="0"/>
          <w:bCs w:val="0"/>
          <w:sz w:val="20"/>
          <w:szCs w:val="20"/>
          <w:highlight w:val="none"/>
          <w:lang w:val="en-US" w:eastAsia="zh-CN"/>
        </w:rPr>
        <w:t>s capability, if the performance degradation by the beam squinting effect for CBM UE capability supporting different frequency groups is acceptable, we think CBM may still possible. It should be discussed case by case, like large MSD values defined for some FR1-FR1 inter-band CA combinations. Therefore, we think it should not restrict the CBM only support CA configurations within same frequency group in the specification.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bCs/>
          <w:sz w:val="20"/>
          <w:szCs w:val="20"/>
          <w:highlight w:val="none"/>
          <w:lang w:val="en-US" w:eastAsia="zh-CN"/>
        </w:rPr>
        <w:t>Proposal 2. RAN4 should not restrict the CBM only support CA configurations within same frequency group</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For IBM, it was agreed that </w:t>
      </w:r>
      <w:r>
        <w:rPr>
          <w:rFonts w:hint="default" w:eastAsia="宋体" w:cs="Times New Roman"/>
          <w:b w:val="0"/>
          <w:bCs w:val="0"/>
          <w:sz w:val="20"/>
          <w:szCs w:val="20"/>
          <w:highlight w:val="none"/>
          <w:lang w:val="en-US" w:eastAsia="zh-CN"/>
        </w:rPr>
        <w:t>IBM UE capability is applicable for all CA configurations</w:t>
      </w:r>
      <w:r>
        <w:rPr>
          <w:rFonts w:hint="eastAsia" w:eastAsia="宋体" w:cs="Times New Roman"/>
          <w:b w:val="0"/>
          <w:bCs w:val="0"/>
          <w:sz w:val="20"/>
          <w:szCs w:val="20"/>
          <w:highlight w:val="none"/>
          <w:lang w:val="en-US" w:eastAsia="zh-CN"/>
        </w:rPr>
        <w:t xml:space="preserve">, regardless of w/ or w/o within the same frequency group. The question if whether or not it is the baseline and if the same IBM requirements apply to all CA configurations.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We think the </w:t>
      </w:r>
      <w:r>
        <w:rPr>
          <w:rFonts w:hint="default" w:eastAsia="宋体" w:cs="Times New Roman"/>
          <w:b w:val="0"/>
          <w:bCs w:val="0"/>
          <w:sz w:val="20"/>
          <w:szCs w:val="20"/>
          <w:highlight w:val="none"/>
          <w:lang w:val="en-US" w:eastAsia="zh-CN"/>
        </w:rPr>
        <w:t>“CA configurations”</w:t>
      </w:r>
      <w:r>
        <w:rPr>
          <w:rFonts w:hint="eastAsia" w:eastAsia="宋体" w:cs="Times New Roman"/>
          <w:b w:val="0"/>
          <w:bCs w:val="0"/>
          <w:sz w:val="20"/>
          <w:szCs w:val="20"/>
          <w:highlight w:val="none"/>
          <w:lang w:val="en-US" w:eastAsia="zh-CN"/>
        </w:rPr>
        <w:t xml:space="preserve"> hear is not clear. Generally, </w:t>
      </w:r>
      <w:r>
        <w:rPr>
          <w:rFonts w:hint="default" w:eastAsia="宋体" w:cs="Times New Roman"/>
          <w:b w:val="0"/>
          <w:bCs w:val="0"/>
          <w:sz w:val="20"/>
          <w:szCs w:val="20"/>
          <w:highlight w:val="none"/>
          <w:lang w:val="en-US" w:eastAsia="zh-CN"/>
        </w:rPr>
        <w:t>CA configurations</w:t>
      </w:r>
      <w:r>
        <w:rPr>
          <w:rFonts w:hint="eastAsia" w:eastAsia="宋体" w:cs="Times New Roman"/>
          <w:b w:val="0"/>
          <w:bCs w:val="0"/>
          <w:sz w:val="20"/>
          <w:szCs w:val="20"/>
          <w:highlight w:val="none"/>
          <w:lang w:val="en-US" w:eastAsia="zh-CN"/>
        </w:rPr>
        <w:t xml:space="preserve"> means CA band combination with bandwidth class for each the constitute band, such as configurations of CA_nXA-nYA and CA_nXA-nYB for band combination CA nX-nY, which means </w:t>
      </w:r>
      <w:r>
        <w:rPr>
          <w:rFonts w:hint="default" w:eastAsia="宋体" w:cs="Times New Roman"/>
          <w:b w:val="0"/>
          <w:bCs w:val="0"/>
          <w:sz w:val="20"/>
          <w:szCs w:val="20"/>
          <w:highlight w:val="none"/>
          <w:lang w:val="en-US" w:eastAsia="zh-CN"/>
        </w:rPr>
        <w:t>CA configurations</w:t>
      </w:r>
      <w:r>
        <w:rPr>
          <w:rFonts w:hint="eastAsia" w:eastAsia="宋体" w:cs="Times New Roman"/>
          <w:b w:val="0"/>
          <w:bCs w:val="0"/>
          <w:sz w:val="20"/>
          <w:szCs w:val="20"/>
          <w:highlight w:val="none"/>
          <w:lang w:val="en-US" w:eastAsia="zh-CN"/>
        </w:rPr>
        <w:t xml:space="preserve"> can be different for the same band combinations. It is no doubt that the same approaches/requirements are applied for all the DL </w:t>
      </w:r>
      <w:r>
        <w:rPr>
          <w:rFonts w:hint="default" w:eastAsia="宋体" w:cs="Times New Roman"/>
          <w:b w:val="0"/>
          <w:bCs w:val="0"/>
          <w:sz w:val="20"/>
          <w:szCs w:val="20"/>
          <w:highlight w:val="none"/>
          <w:lang w:val="en-US" w:eastAsia="zh-CN"/>
        </w:rPr>
        <w:t>CA configurations</w:t>
      </w:r>
      <w:r>
        <w:rPr>
          <w:rFonts w:hint="eastAsia" w:eastAsia="宋体" w:cs="Times New Roman"/>
          <w:b w:val="0"/>
          <w:bCs w:val="0"/>
          <w:sz w:val="20"/>
          <w:szCs w:val="20"/>
          <w:highlight w:val="none"/>
          <w:lang w:val="en-US" w:eastAsia="zh-CN"/>
        </w:rPr>
        <w:t xml:space="preserve"> for the same band combinations. However, since the IBM capability can be supported in both the L-L/H-H  and L-H band combinations, so the requirements may not the same between L-L/H-H and L-H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In our understanding, the intention in the WF is to describe the different band combinations either in the same frequency group or different frequency group. As we know, both CBM and IBM are supported for FR2 inter band DL CA, so if CBM can be considered as an incapability signaling for the UE to use for certain allowed band combinations, it seems there are no choices except for IBM though </w:t>
      </w:r>
      <w:r>
        <w:rPr>
          <w:rFonts w:eastAsia="宋体"/>
          <w:sz w:val="20"/>
          <w:highlight w:val="none"/>
          <w:lang w:val="en-US" w:eastAsia="zh-CN"/>
        </w:rPr>
        <w:t>IBM within same freq. group is more complicated than CBM</w:t>
      </w:r>
      <w:r>
        <w:rPr>
          <w:rFonts w:hint="eastAsia" w:eastAsia="宋体"/>
          <w:sz w:val="20"/>
          <w:highlight w:val="none"/>
          <w:lang w:val="en-US" w:eastAsia="zh-CN"/>
        </w:rPr>
        <w:t>. O</w:t>
      </w:r>
      <w:r>
        <w:rPr>
          <w:rFonts w:hint="eastAsia" w:eastAsia="宋体" w:cs="Times New Roman"/>
          <w:b w:val="0"/>
          <w:bCs w:val="0"/>
          <w:sz w:val="20"/>
          <w:szCs w:val="20"/>
          <w:highlight w:val="none"/>
          <w:lang w:val="en-US" w:eastAsia="zh-CN"/>
        </w:rPr>
        <w:t xml:space="preserve">therwise the UE may not support inter-band DL CA.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3. IBM should be the baseline </w:t>
      </w:r>
      <w:r>
        <w:rPr>
          <w:rFonts w:hint="eastAsia" w:eastAsia="宋体"/>
          <w:b/>
          <w:bCs/>
          <w:color w:val="auto"/>
          <w:sz w:val="20"/>
          <w:szCs w:val="20"/>
          <w:highlight w:val="none"/>
          <w:lang w:val="en-US" w:eastAsia="zh-CN"/>
        </w:rPr>
        <w:t xml:space="preserve">for all inter-band DL CA </w:t>
      </w:r>
      <w:r>
        <w:rPr>
          <w:rFonts w:hint="eastAsia" w:eastAsia="宋体"/>
          <w:b/>
          <w:bCs/>
          <w:sz w:val="20"/>
          <w:szCs w:val="20"/>
          <w:highlight w:val="none"/>
          <w:lang w:val="en-US" w:eastAsia="zh-CN"/>
        </w:rPr>
        <w:t>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bCs/>
          <w:sz w:val="20"/>
          <w:szCs w:val="20"/>
          <w:highlight w:val="none"/>
          <w:lang w:val="en-US" w:eastAsia="zh-CN"/>
        </w:rPr>
        <w:t xml:space="preserve">Proposal 4. The same IBM requirements apply to all CA configurations for the same band combination. However, the IBM requirements may not the same between L-L/H-H and L-H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In this paper, </w:t>
      </w:r>
      <w:r>
        <w:rPr>
          <w:rFonts w:hint="eastAsia" w:eastAsia="宋体" w:cs="Times New Roman"/>
          <w:sz w:val="20"/>
          <w:szCs w:val="22"/>
          <w:highlight w:val="none"/>
          <w:lang w:val="en-US" w:eastAsia="zh-CN"/>
        </w:rPr>
        <w:t xml:space="preserve">we </w:t>
      </w:r>
      <w:r>
        <w:rPr>
          <w:rFonts w:hint="eastAsia" w:ascii="Times New Roman" w:hAnsi="Times New Roman" w:eastAsia="宋体" w:cs="Times New Roman"/>
          <w:i w:val="0"/>
          <w:iCs w:val="0"/>
          <w:sz w:val="20"/>
          <w:szCs w:val="22"/>
          <w:highlight w:val="none"/>
          <w:lang w:val="en-US" w:eastAsia="zh-CN"/>
        </w:rPr>
        <w:t>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w:t>
      </w:r>
      <w:r>
        <w:rPr>
          <w:rFonts w:hint="eastAsia" w:eastAsia="宋体" w:cs="Times New Roman"/>
          <w:i w:val="0"/>
          <w:iCs w:val="0"/>
          <w:sz w:val="20"/>
          <w:szCs w:val="22"/>
          <w:highlight w:val="none"/>
          <w:lang w:val="en-US" w:eastAsia="zh-CN"/>
        </w:rPr>
        <w:t>some issues for applicability of CBM/IBM for different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Observation: Current </w:t>
      </w:r>
      <w:r>
        <w:rPr>
          <w:rFonts w:hint="eastAsia" w:eastAsia="宋体" w:cs="Times New Roman"/>
          <w:b/>
          <w:bCs/>
          <w:sz w:val="20"/>
          <w:szCs w:val="20"/>
          <w:highlight w:val="none"/>
          <w:lang w:val="zh-CN" w:eastAsia="zh-CN"/>
        </w:rPr>
        <w:t xml:space="preserve">TS38.104 BS </w:t>
      </w:r>
      <w:r>
        <w:rPr>
          <w:rFonts w:hint="eastAsia" w:eastAsia="宋体" w:cs="Times New Roman"/>
          <w:b/>
          <w:bCs/>
          <w:sz w:val="20"/>
          <w:szCs w:val="20"/>
          <w:highlight w:val="none"/>
          <w:lang w:val="en-US" w:eastAsia="zh-CN"/>
        </w:rPr>
        <w:t xml:space="preserve">OTA </w:t>
      </w:r>
      <w:r>
        <w:rPr>
          <w:rFonts w:hint="eastAsia" w:eastAsia="宋体" w:cs="Times New Roman"/>
          <w:b/>
          <w:bCs/>
          <w:sz w:val="20"/>
          <w:szCs w:val="20"/>
          <w:highlight w:val="none"/>
          <w:lang w:val="zh-CN" w:eastAsia="zh-CN"/>
        </w:rPr>
        <w:t>TAE requirement cannot satisfy that assumption for the co-located deployment for FR2</w:t>
      </w:r>
      <w:r>
        <w:rPr>
          <w:rFonts w:hint="eastAsia" w:eastAsia="宋体" w:cs="Times New Roman"/>
          <w:b/>
          <w:bCs/>
          <w:sz w:val="20"/>
          <w:szCs w:val="20"/>
          <w:highlight w:val="none"/>
          <w:lang w:val="en-US" w:eastAsia="zh-CN"/>
        </w:rPr>
        <w:t xml:space="preserve"> inter-band CA.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yellow"/>
          <w:lang w:val="en-US" w:eastAsia="zh-CN"/>
        </w:rPr>
      </w:pPr>
      <w:r>
        <w:rPr>
          <w:rFonts w:hint="eastAsia" w:eastAsia="宋体" w:cs="Times New Roman"/>
          <w:b/>
          <w:bCs/>
          <w:sz w:val="20"/>
          <w:szCs w:val="20"/>
          <w:highlight w:val="none"/>
          <w:lang w:val="en-US" w:eastAsia="zh-CN"/>
        </w:rPr>
        <w:t>Proposal 1. To compliance to CBM UE capability for inter-band DL CA, both TS38.133 and TS38.104 (OTA TAE requirements) need to be discussed/updated accordingly.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bCs/>
          <w:sz w:val="20"/>
          <w:szCs w:val="20"/>
          <w:highlight w:val="none"/>
          <w:lang w:val="en-US" w:eastAsia="zh-CN"/>
        </w:rPr>
        <w:t>Proposal 2. It should not restrict the CBM only support CA configurations within same frequency group in the specification.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3. IBM should be the baseline </w:t>
      </w:r>
      <w:r>
        <w:rPr>
          <w:rFonts w:hint="eastAsia" w:eastAsia="宋体"/>
          <w:b/>
          <w:bCs/>
          <w:color w:val="auto"/>
          <w:sz w:val="20"/>
          <w:szCs w:val="20"/>
          <w:highlight w:val="none"/>
          <w:lang w:val="en-US" w:eastAsia="zh-CN"/>
        </w:rPr>
        <w:t xml:space="preserve">for all inter-band DL CA </w:t>
      </w:r>
      <w:r>
        <w:rPr>
          <w:rFonts w:hint="eastAsia" w:eastAsia="宋体"/>
          <w:b/>
          <w:bCs/>
          <w:sz w:val="20"/>
          <w:szCs w:val="20"/>
          <w:highlight w:val="none"/>
          <w:lang w:val="en-US" w:eastAsia="zh-CN"/>
        </w:rPr>
        <w:t>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bCs/>
          <w:sz w:val="20"/>
          <w:szCs w:val="20"/>
          <w:highlight w:val="none"/>
          <w:lang w:val="en-US" w:eastAsia="zh-CN"/>
        </w:rPr>
        <w:t xml:space="preserve">Proposal 4. The same IBM requirements apply to all CA configurations for the same band combination. However, the IBM requirements may not the same between L-L/H-H and L-H band combination.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sz w:val="20"/>
          <w:szCs w:val="20"/>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[1] R4-2016915 WF on Applicability of CBM/IBM for different CA, Samsung, Nokia</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[2] </w:t>
      </w:r>
      <w:r>
        <w:rPr>
          <w:rFonts w:hint="eastAsia" w:ascii="Times New Roman" w:hAnsi="Times New Roman" w:eastAsia="宋体" w:cs="Times New Roman"/>
          <w:b w:val="0"/>
          <w:bCs w:val="0"/>
          <w:sz w:val="20"/>
          <w:szCs w:val="20"/>
          <w:highlight w:val="none"/>
          <w:vertAlign w:val="baseline"/>
          <w:lang w:val="en-US" w:eastAsia="zh-CN"/>
        </w:rPr>
        <w:t>R4-2008487</w:t>
      </w:r>
      <w:r>
        <w:rPr>
          <w:rFonts w:hint="eastAsia" w:eastAsia="宋体" w:cs="Times New Roman"/>
          <w:b w:val="0"/>
          <w:bCs w:val="0"/>
          <w:sz w:val="20"/>
          <w:szCs w:val="20"/>
          <w:highlight w:val="none"/>
          <w:vertAlign w:val="baseline"/>
          <w:lang w:val="en-US" w:eastAsia="zh-CN"/>
        </w:rPr>
        <w:t xml:space="preserve"> WF on FR2 inter-band DL CA, MediaTek Inc.</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6A35A2"/>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EB6DB7"/>
    <w:rsid w:val="04F83880"/>
    <w:rsid w:val="04FB32C2"/>
    <w:rsid w:val="04FC7574"/>
    <w:rsid w:val="0507209B"/>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92E0B"/>
    <w:rsid w:val="073B0379"/>
    <w:rsid w:val="073F1FDF"/>
    <w:rsid w:val="07447DDE"/>
    <w:rsid w:val="07505939"/>
    <w:rsid w:val="0754271D"/>
    <w:rsid w:val="075460A8"/>
    <w:rsid w:val="07560AAB"/>
    <w:rsid w:val="076931E4"/>
    <w:rsid w:val="076D415D"/>
    <w:rsid w:val="07703155"/>
    <w:rsid w:val="07713D9D"/>
    <w:rsid w:val="077330B7"/>
    <w:rsid w:val="07743668"/>
    <w:rsid w:val="07756E39"/>
    <w:rsid w:val="07772C03"/>
    <w:rsid w:val="077738E6"/>
    <w:rsid w:val="077F0549"/>
    <w:rsid w:val="077F69B0"/>
    <w:rsid w:val="07815D85"/>
    <w:rsid w:val="0786674C"/>
    <w:rsid w:val="07880BDC"/>
    <w:rsid w:val="078D38BB"/>
    <w:rsid w:val="07954213"/>
    <w:rsid w:val="07984F47"/>
    <w:rsid w:val="079A211D"/>
    <w:rsid w:val="07AF6186"/>
    <w:rsid w:val="07B342C4"/>
    <w:rsid w:val="07BA518C"/>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52400"/>
    <w:rsid w:val="08DC5892"/>
    <w:rsid w:val="08E16EEF"/>
    <w:rsid w:val="08ED1042"/>
    <w:rsid w:val="08EE5E63"/>
    <w:rsid w:val="08F80051"/>
    <w:rsid w:val="08FF75F2"/>
    <w:rsid w:val="09014876"/>
    <w:rsid w:val="0906231D"/>
    <w:rsid w:val="090F07A1"/>
    <w:rsid w:val="09105B11"/>
    <w:rsid w:val="09130B62"/>
    <w:rsid w:val="09135978"/>
    <w:rsid w:val="091744D0"/>
    <w:rsid w:val="091F6975"/>
    <w:rsid w:val="09204DFE"/>
    <w:rsid w:val="09212774"/>
    <w:rsid w:val="092760A2"/>
    <w:rsid w:val="092D6FEC"/>
    <w:rsid w:val="092F0069"/>
    <w:rsid w:val="092F4A13"/>
    <w:rsid w:val="09310D62"/>
    <w:rsid w:val="09322686"/>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C731A"/>
    <w:rsid w:val="0B524E40"/>
    <w:rsid w:val="0B5355EB"/>
    <w:rsid w:val="0B581A82"/>
    <w:rsid w:val="0B62077D"/>
    <w:rsid w:val="0B633BD1"/>
    <w:rsid w:val="0B67076C"/>
    <w:rsid w:val="0B6A4660"/>
    <w:rsid w:val="0B6B2BC3"/>
    <w:rsid w:val="0B6C09A7"/>
    <w:rsid w:val="0B7E5B00"/>
    <w:rsid w:val="0B8650E8"/>
    <w:rsid w:val="0B871FAA"/>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F5105"/>
    <w:rsid w:val="0F4178CC"/>
    <w:rsid w:val="0F475E79"/>
    <w:rsid w:val="0F492AD4"/>
    <w:rsid w:val="0F4B7E1A"/>
    <w:rsid w:val="0F4C4091"/>
    <w:rsid w:val="0F4E0D22"/>
    <w:rsid w:val="0F526E9F"/>
    <w:rsid w:val="0F564A36"/>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DC1B77"/>
    <w:rsid w:val="0FE5349E"/>
    <w:rsid w:val="0FE847C8"/>
    <w:rsid w:val="0FEB5939"/>
    <w:rsid w:val="0FF04B4F"/>
    <w:rsid w:val="0FF32CF0"/>
    <w:rsid w:val="0FF91941"/>
    <w:rsid w:val="1002358E"/>
    <w:rsid w:val="1005685C"/>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7C0521"/>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60DC8"/>
    <w:rsid w:val="110C4566"/>
    <w:rsid w:val="112103C5"/>
    <w:rsid w:val="1125568E"/>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30A8"/>
    <w:rsid w:val="122605E2"/>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C20883"/>
    <w:rsid w:val="12CB538A"/>
    <w:rsid w:val="12CD1DC9"/>
    <w:rsid w:val="12D43973"/>
    <w:rsid w:val="12D62B58"/>
    <w:rsid w:val="12E27109"/>
    <w:rsid w:val="12E77AD7"/>
    <w:rsid w:val="12E94E33"/>
    <w:rsid w:val="12EA0359"/>
    <w:rsid w:val="12EA0BB7"/>
    <w:rsid w:val="12F9591A"/>
    <w:rsid w:val="130B1D8A"/>
    <w:rsid w:val="131358FB"/>
    <w:rsid w:val="13173505"/>
    <w:rsid w:val="131F3AD2"/>
    <w:rsid w:val="13293EE0"/>
    <w:rsid w:val="132C4BED"/>
    <w:rsid w:val="133025EA"/>
    <w:rsid w:val="13304676"/>
    <w:rsid w:val="13326762"/>
    <w:rsid w:val="1336157D"/>
    <w:rsid w:val="133657BA"/>
    <w:rsid w:val="133E3DD1"/>
    <w:rsid w:val="13403B28"/>
    <w:rsid w:val="134453C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965B3"/>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72A63"/>
    <w:rsid w:val="156A43DD"/>
    <w:rsid w:val="156B3683"/>
    <w:rsid w:val="156D05EA"/>
    <w:rsid w:val="157B5E01"/>
    <w:rsid w:val="157C0E9E"/>
    <w:rsid w:val="15822789"/>
    <w:rsid w:val="1587473D"/>
    <w:rsid w:val="158B3505"/>
    <w:rsid w:val="159668BE"/>
    <w:rsid w:val="159C7418"/>
    <w:rsid w:val="15A50240"/>
    <w:rsid w:val="15A730AB"/>
    <w:rsid w:val="15AA3264"/>
    <w:rsid w:val="15B0182F"/>
    <w:rsid w:val="15B10F22"/>
    <w:rsid w:val="15B27CF5"/>
    <w:rsid w:val="15B3688A"/>
    <w:rsid w:val="15BC7728"/>
    <w:rsid w:val="15BD3CA1"/>
    <w:rsid w:val="15BE5020"/>
    <w:rsid w:val="15C44867"/>
    <w:rsid w:val="15C47F25"/>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E121C"/>
    <w:rsid w:val="18747BD4"/>
    <w:rsid w:val="187D0B92"/>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C6C93"/>
    <w:rsid w:val="1E110C6E"/>
    <w:rsid w:val="1E1379F8"/>
    <w:rsid w:val="1E1461B7"/>
    <w:rsid w:val="1E190EEC"/>
    <w:rsid w:val="1E1E03D3"/>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040A1"/>
    <w:rsid w:val="1F977357"/>
    <w:rsid w:val="1F9A4420"/>
    <w:rsid w:val="1F9C2030"/>
    <w:rsid w:val="1F9D5BB8"/>
    <w:rsid w:val="1F9E5C18"/>
    <w:rsid w:val="1FAA09E6"/>
    <w:rsid w:val="1FAB6CD7"/>
    <w:rsid w:val="1FAD7245"/>
    <w:rsid w:val="1FAF489E"/>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3541"/>
    <w:rsid w:val="20C26B56"/>
    <w:rsid w:val="20C776A9"/>
    <w:rsid w:val="20D45236"/>
    <w:rsid w:val="20D45CC6"/>
    <w:rsid w:val="20D47CF1"/>
    <w:rsid w:val="20D67A4F"/>
    <w:rsid w:val="20DF7183"/>
    <w:rsid w:val="20EB0A2A"/>
    <w:rsid w:val="20ED6469"/>
    <w:rsid w:val="20EE326C"/>
    <w:rsid w:val="20F23E6F"/>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6F0212"/>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758E5"/>
    <w:rsid w:val="22692416"/>
    <w:rsid w:val="226944DF"/>
    <w:rsid w:val="227734AA"/>
    <w:rsid w:val="22790C8F"/>
    <w:rsid w:val="227E691F"/>
    <w:rsid w:val="227F29B7"/>
    <w:rsid w:val="227F5EE6"/>
    <w:rsid w:val="229150BB"/>
    <w:rsid w:val="2295731A"/>
    <w:rsid w:val="229A472F"/>
    <w:rsid w:val="22A76E5F"/>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039B9"/>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C5370"/>
    <w:rsid w:val="25AC7500"/>
    <w:rsid w:val="25B12E79"/>
    <w:rsid w:val="25B64199"/>
    <w:rsid w:val="25B969B9"/>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21490A"/>
    <w:rsid w:val="272658FE"/>
    <w:rsid w:val="272B0B6C"/>
    <w:rsid w:val="272E143C"/>
    <w:rsid w:val="272F2EB6"/>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B1C9B"/>
    <w:rsid w:val="27EE2436"/>
    <w:rsid w:val="27EE3EA1"/>
    <w:rsid w:val="27FC5EA0"/>
    <w:rsid w:val="27FE7297"/>
    <w:rsid w:val="280014D3"/>
    <w:rsid w:val="280665FC"/>
    <w:rsid w:val="28087D88"/>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C1A5A"/>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A7929"/>
    <w:rsid w:val="2A9E19E6"/>
    <w:rsid w:val="2AAB728D"/>
    <w:rsid w:val="2AB4686A"/>
    <w:rsid w:val="2AB55B2E"/>
    <w:rsid w:val="2AC12114"/>
    <w:rsid w:val="2AC91296"/>
    <w:rsid w:val="2AD03C7C"/>
    <w:rsid w:val="2AD408B6"/>
    <w:rsid w:val="2ADB447F"/>
    <w:rsid w:val="2AE56C4E"/>
    <w:rsid w:val="2AEC7045"/>
    <w:rsid w:val="2AEE6BF5"/>
    <w:rsid w:val="2AEF1DBC"/>
    <w:rsid w:val="2AF940AB"/>
    <w:rsid w:val="2AFA29BD"/>
    <w:rsid w:val="2AFF2EB0"/>
    <w:rsid w:val="2AFF6246"/>
    <w:rsid w:val="2B061E16"/>
    <w:rsid w:val="2B0651DB"/>
    <w:rsid w:val="2B081CE2"/>
    <w:rsid w:val="2B0B7DF6"/>
    <w:rsid w:val="2B0E24FA"/>
    <w:rsid w:val="2B122123"/>
    <w:rsid w:val="2B130886"/>
    <w:rsid w:val="2B1E6496"/>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23C2"/>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DD7FEB"/>
    <w:rsid w:val="2CE1756B"/>
    <w:rsid w:val="2CE202D4"/>
    <w:rsid w:val="2CE914BE"/>
    <w:rsid w:val="2CEA0BBE"/>
    <w:rsid w:val="2CF03153"/>
    <w:rsid w:val="2CFE082A"/>
    <w:rsid w:val="2D03574C"/>
    <w:rsid w:val="2D03772A"/>
    <w:rsid w:val="2D0772FD"/>
    <w:rsid w:val="2D0947D4"/>
    <w:rsid w:val="2D0C28DF"/>
    <w:rsid w:val="2D13536A"/>
    <w:rsid w:val="2D233963"/>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CC45DC"/>
    <w:rsid w:val="2ED20358"/>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1F2B"/>
    <w:rsid w:val="30C76CBF"/>
    <w:rsid w:val="30D10D4D"/>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3D2EE7"/>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6615B4"/>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45DA4"/>
    <w:rsid w:val="33C979F1"/>
    <w:rsid w:val="33CA72F2"/>
    <w:rsid w:val="33CE34C9"/>
    <w:rsid w:val="33CF32BC"/>
    <w:rsid w:val="33D51CFB"/>
    <w:rsid w:val="33D63892"/>
    <w:rsid w:val="33DA3C12"/>
    <w:rsid w:val="33DC6CEA"/>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A334D1"/>
    <w:rsid w:val="34B052FD"/>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C1D12"/>
    <w:rsid w:val="359E0193"/>
    <w:rsid w:val="35A13235"/>
    <w:rsid w:val="35A27A3D"/>
    <w:rsid w:val="35B14C48"/>
    <w:rsid w:val="35B66467"/>
    <w:rsid w:val="35B74EE0"/>
    <w:rsid w:val="35B9424B"/>
    <w:rsid w:val="35BB4FCF"/>
    <w:rsid w:val="35BE52A4"/>
    <w:rsid w:val="35CD3301"/>
    <w:rsid w:val="35D05B8C"/>
    <w:rsid w:val="35D229D8"/>
    <w:rsid w:val="35D22AB1"/>
    <w:rsid w:val="35D61974"/>
    <w:rsid w:val="35D91BC5"/>
    <w:rsid w:val="35DC07B2"/>
    <w:rsid w:val="35E569D0"/>
    <w:rsid w:val="35EF3862"/>
    <w:rsid w:val="35F64CDE"/>
    <w:rsid w:val="35F777CB"/>
    <w:rsid w:val="36041D87"/>
    <w:rsid w:val="36057172"/>
    <w:rsid w:val="36062003"/>
    <w:rsid w:val="36075703"/>
    <w:rsid w:val="361D4745"/>
    <w:rsid w:val="361E4A68"/>
    <w:rsid w:val="361E4BCF"/>
    <w:rsid w:val="361F359F"/>
    <w:rsid w:val="362029EC"/>
    <w:rsid w:val="36240668"/>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61CF"/>
    <w:rsid w:val="391B59AB"/>
    <w:rsid w:val="39207EF1"/>
    <w:rsid w:val="392819C0"/>
    <w:rsid w:val="393244B6"/>
    <w:rsid w:val="39355B2F"/>
    <w:rsid w:val="393871EA"/>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D6DEA"/>
    <w:rsid w:val="39DE4386"/>
    <w:rsid w:val="39DF37D5"/>
    <w:rsid w:val="39E61B89"/>
    <w:rsid w:val="39ED27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52C73"/>
    <w:rsid w:val="3AE56019"/>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666ED"/>
    <w:rsid w:val="3C6B6A77"/>
    <w:rsid w:val="3C6D5054"/>
    <w:rsid w:val="3C705F26"/>
    <w:rsid w:val="3C7D236C"/>
    <w:rsid w:val="3C914E1A"/>
    <w:rsid w:val="3C961419"/>
    <w:rsid w:val="3CA12CEA"/>
    <w:rsid w:val="3CA1514C"/>
    <w:rsid w:val="3CA40A32"/>
    <w:rsid w:val="3CAE61AF"/>
    <w:rsid w:val="3CC13333"/>
    <w:rsid w:val="3CCB357A"/>
    <w:rsid w:val="3CD1503D"/>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B7627"/>
    <w:rsid w:val="3D2A3034"/>
    <w:rsid w:val="3D2E364F"/>
    <w:rsid w:val="3D330529"/>
    <w:rsid w:val="3D350B20"/>
    <w:rsid w:val="3D4077DF"/>
    <w:rsid w:val="3D416EA9"/>
    <w:rsid w:val="3D465130"/>
    <w:rsid w:val="3D4A120B"/>
    <w:rsid w:val="3D4E3E7A"/>
    <w:rsid w:val="3D4E400A"/>
    <w:rsid w:val="3D5D4227"/>
    <w:rsid w:val="3D6C28B1"/>
    <w:rsid w:val="3D6F52B4"/>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A0D8D"/>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17373"/>
    <w:rsid w:val="42E502F5"/>
    <w:rsid w:val="42E571BE"/>
    <w:rsid w:val="42E87402"/>
    <w:rsid w:val="42EB6D52"/>
    <w:rsid w:val="42ED5FEB"/>
    <w:rsid w:val="43021632"/>
    <w:rsid w:val="43072A65"/>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56960"/>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F46BD5"/>
    <w:rsid w:val="45F9658B"/>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82CDF"/>
    <w:rsid w:val="46F91932"/>
    <w:rsid w:val="46FB1DAE"/>
    <w:rsid w:val="46FF50FF"/>
    <w:rsid w:val="47001B66"/>
    <w:rsid w:val="47056617"/>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6BE2"/>
    <w:rsid w:val="49737639"/>
    <w:rsid w:val="497A4AAC"/>
    <w:rsid w:val="497A7AEA"/>
    <w:rsid w:val="497D0172"/>
    <w:rsid w:val="49802354"/>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E3165"/>
    <w:rsid w:val="4A33337A"/>
    <w:rsid w:val="4A375652"/>
    <w:rsid w:val="4A434210"/>
    <w:rsid w:val="4A492F58"/>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43A1F"/>
    <w:rsid w:val="4AAC3954"/>
    <w:rsid w:val="4AB2360B"/>
    <w:rsid w:val="4AB33224"/>
    <w:rsid w:val="4AB61230"/>
    <w:rsid w:val="4AB71223"/>
    <w:rsid w:val="4ABB09B7"/>
    <w:rsid w:val="4ACF133B"/>
    <w:rsid w:val="4AD13278"/>
    <w:rsid w:val="4AD67579"/>
    <w:rsid w:val="4AD76B5B"/>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539CE"/>
    <w:rsid w:val="4CA616E3"/>
    <w:rsid w:val="4CAC5935"/>
    <w:rsid w:val="4CAE0A1E"/>
    <w:rsid w:val="4CAE34C1"/>
    <w:rsid w:val="4CB65182"/>
    <w:rsid w:val="4CBC4853"/>
    <w:rsid w:val="4CBE7285"/>
    <w:rsid w:val="4CC325AA"/>
    <w:rsid w:val="4CC37E5E"/>
    <w:rsid w:val="4CC423AF"/>
    <w:rsid w:val="4CC44D6A"/>
    <w:rsid w:val="4CC875E7"/>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81394"/>
    <w:rsid w:val="4E893F39"/>
    <w:rsid w:val="4E8B797D"/>
    <w:rsid w:val="4E8D6DC1"/>
    <w:rsid w:val="4E8D7BB3"/>
    <w:rsid w:val="4E991BA4"/>
    <w:rsid w:val="4E995228"/>
    <w:rsid w:val="4E9A794B"/>
    <w:rsid w:val="4E9D6A10"/>
    <w:rsid w:val="4EA62A18"/>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92E54"/>
    <w:rsid w:val="521A6B40"/>
    <w:rsid w:val="521C7DEC"/>
    <w:rsid w:val="52345124"/>
    <w:rsid w:val="523A44B9"/>
    <w:rsid w:val="523E191D"/>
    <w:rsid w:val="52427E0F"/>
    <w:rsid w:val="524679A7"/>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7312A9"/>
    <w:rsid w:val="547475CB"/>
    <w:rsid w:val="547A5E91"/>
    <w:rsid w:val="54855995"/>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54A4C"/>
    <w:rsid w:val="561A647D"/>
    <w:rsid w:val="561F640A"/>
    <w:rsid w:val="56215F3C"/>
    <w:rsid w:val="562E3095"/>
    <w:rsid w:val="563B06A8"/>
    <w:rsid w:val="563C5D74"/>
    <w:rsid w:val="563D4E7F"/>
    <w:rsid w:val="56416CC2"/>
    <w:rsid w:val="564E1154"/>
    <w:rsid w:val="565209A5"/>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6AB5"/>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50639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861DFE"/>
    <w:rsid w:val="5B8B4481"/>
    <w:rsid w:val="5B8F3139"/>
    <w:rsid w:val="5B8F6725"/>
    <w:rsid w:val="5B961544"/>
    <w:rsid w:val="5B9C0BB9"/>
    <w:rsid w:val="5B9D2958"/>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464FB"/>
    <w:rsid w:val="5D4F674E"/>
    <w:rsid w:val="5D565B4C"/>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E50AB"/>
    <w:rsid w:val="5DA213F9"/>
    <w:rsid w:val="5DA42995"/>
    <w:rsid w:val="5DA80CB5"/>
    <w:rsid w:val="5DAF50E1"/>
    <w:rsid w:val="5DB025E9"/>
    <w:rsid w:val="5DB3412C"/>
    <w:rsid w:val="5DB426A0"/>
    <w:rsid w:val="5DB76601"/>
    <w:rsid w:val="5DB77D64"/>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73758B"/>
    <w:rsid w:val="5F796C02"/>
    <w:rsid w:val="5F7A3813"/>
    <w:rsid w:val="5F7B787C"/>
    <w:rsid w:val="5F7C348D"/>
    <w:rsid w:val="5F7D2DFF"/>
    <w:rsid w:val="5F8E07ED"/>
    <w:rsid w:val="5F9D5EA1"/>
    <w:rsid w:val="5F9D7BCF"/>
    <w:rsid w:val="5FA03264"/>
    <w:rsid w:val="5FA06CEB"/>
    <w:rsid w:val="5FA67313"/>
    <w:rsid w:val="5FAF6A8E"/>
    <w:rsid w:val="5FB41C12"/>
    <w:rsid w:val="5FB66F77"/>
    <w:rsid w:val="5FBD0EC7"/>
    <w:rsid w:val="5FC23A38"/>
    <w:rsid w:val="5FC458D2"/>
    <w:rsid w:val="5FCE6F1E"/>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732D14"/>
    <w:rsid w:val="6074551E"/>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C0BE1"/>
    <w:rsid w:val="610F24C5"/>
    <w:rsid w:val="611013A5"/>
    <w:rsid w:val="61106AAF"/>
    <w:rsid w:val="6111106A"/>
    <w:rsid w:val="611C718C"/>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8B4DD9"/>
    <w:rsid w:val="659B3091"/>
    <w:rsid w:val="65A16EE2"/>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7473D"/>
    <w:rsid w:val="673F566D"/>
    <w:rsid w:val="674015BC"/>
    <w:rsid w:val="67477A3D"/>
    <w:rsid w:val="674836B0"/>
    <w:rsid w:val="674A7242"/>
    <w:rsid w:val="6750530D"/>
    <w:rsid w:val="67534BA2"/>
    <w:rsid w:val="67627CB0"/>
    <w:rsid w:val="67646E19"/>
    <w:rsid w:val="67667554"/>
    <w:rsid w:val="6768236C"/>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9150FF"/>
    <w:rsid w:val="6B946BF3"/>
    <w:rsid w:val="6BA2350F"/>
    <w:rsid w:val="6BA31178"/>
    <w:rsid w:val="6BB2108D"/>
    <w:rsid w:val="6BBA4ECD"/>
    <w:rsid w:val="6BD0504C"/>
    <w:rsid w:val="6BD4209E"/>
    <w:rsid w:val="6BD639FA"/>
    <w:rsid w:val="6BD82F70"/>
    <w:rsid w:val="6BDB61D4"/>
    <w:rsid w:val="6BE123A6"/>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DF7C9D"/>
    <w:rsid w:val="6EEA4297"/>
    <w:rsid w:val="6EF00518"/>
    <w:rsid w:val="6EF219BB"/>
    <w:rsid w:val="6EFC16BD"/>
    <w:rsid w:val="6F004303"/>
    <w:rsid w:val="6F045596"/>
    <w:rsid w:val="6F06324C"/>
    <w:rsid w:val="6F0810D3"/>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C5A02"/>
    <w:rsid w:val="6F8C5AA5"/>
    <w:rsid w:val="6F8F537D"/>
    <w:rsid w:val="6F9B34F3"/>
    <w:rsid w:val="6F9E4536"/>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5D2"/>
    <w:rsid w:val="71067601"/>
    <w:rsid w:val="71077939"/>
    <w:rsid w:val="71083904"/>
    <w:rsid w:val="710B0E9C"/>
    <w:rsid w:val="710B2950"/>
    <w:rsid w:val="710F0EA2"/>
    <w:rsid w:val="711149A0"/>
    <w:rsid w:val="7118667D"/>
    <w:rsid w:val="71196FB8"/>
    <w:rsid w:val="711D328F"/>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E15A5"/>
    <w:rsid w:val="71F33B55"/>
    <w:rsid w:val="71F57D74"/>
    <w:rsid w:val="71FB423C"/>
    <w:rsid w:val="71FD3650"/>
    <w:rsid w:val="71FF1039"/>
    <w:rsid w:val="72072567"/>
    <w:rsid w:val="72087B4A"/>
    <w:rsid w:val="72090D71"/>
    <w:rsid w:val="72091C86"/>
    <w:rsid w:val="720E20AA"/>
    <w:rsid w:val="721B42A2"/>
    <w:rsid w:val="721E4D37"/>
    <w:rsid w:val="72210BEB"/>
    <w:rsid w:val="722A42EA"/>
    <w:rsid w:val="723177B6"/>
    <w:rsid w:val="7234447E"/>
    <w:rsid w:val="723F4D85"/>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85F17"/>
    <w:rsid w:val="741E5779"/>
    <w:rsid w:val="742227D1"/>
    <w:rsid w:val="74277835"/>
    <w:rsid w:val="74283D09"/>
    <w:rsid w:val="742B00D0"/>
    <w:rsid w:val="742E587E"/>
    <w:rsid w:val="743965EB"/>
    <w:rsid w:val="74410C1E"/>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10AF5"/>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F421C"/>
    <w:rsid w:val="77B16742"/>
    <w:rsid w:val="77B36B5D"/>
    <w:rsid w:val="77B61118"/>
    <w:rsid w:val="77B75A06"/>
    <w:rsid w:val="77C0217C"/>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BB450B"/>
    <w:rsid w:val="78BE4DB9"/>
    <w:rsid w:val="78C54E82"/>
    <w:rsid w:val="78C60ED3"/>
    <w:rsid w:val="78C6582A"/>
    <w:rsid w:val="78C709C2"/>
    <w:rsid w:val="78C9747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83BF5"/>
    <w:rsid w:val="7A2F4BCF"/>
    <w:rsid w:val="7A2F717B"/>
    <w:rsid w:val="7A316C47"/>
    <w:rsid w:val="7A3463D9"/>
    <w:rsid w:val="7A3974D6"/>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F7981"/>
    <w:rsid w:val="7A821419"/>
    <w:rsid w:val="7A831E06"/>
    <w:rsid w:val="7A874FD1"/>
    <w:rsid w:val="7A9143C1"/>
    <w:rsid w:val="7AAB2D5F"/>
    <w:rsid w:val="7AAC38E0"/>
    <w:rsid w:val="7ABF10D1"/>
    <w:rsid w:val="7AC03E60"/>
    <w:rsid w:val="7AC36589"/>
    <w:rsid w:val="7AC743A7"/>
    <w:rsid w:val="7ACC5D32"/>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32185"/>
    <w:rsid w:val="7F3B3101"/>
    <w:rsid w:val="7F3B4E97"/>
    <w:rsid w:val="7F3D45CB"/>
    <w:rsid w:val="7F3D5899"/>
    <w:rsid w:val="7F405053"/>
    <w:rsid w:val="7F425F57"/>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2021-01-15T16:26:20Z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